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D8E74" w14:textId="532EDFC4" w:rsidR="00BD1442" w:rsidRDefault="00BD1442" w:rsidP="00BD1442">
      <w:pPr>
        <w:spacing w:after="0"/>
        <w:jc w:val="center"/>
        <w:rPr>
          <w:rFonts w:ascii="Times New Roman" w:hAnsi="Times New Roman"/>
          <w:noProof/>
          <w:sz w:val="24"/>
          <w:szCs w:val="24"/>
          <w:lang w:val="en-GB" w:eastAsia="en-GB"/>
        </w:rPr>
      </w:pPr>
      <w:r w:rsidRPr="000857E6">
        <w:rPr>
          <w:rFonts w:ascii="Times New Roman" w:hAnsi="Times New Roman"/>
          <w:noProof/>
          <w:sz w:val="24"/>
          <w:szCs w:val="24"/>
        </w:rPr>
        <w:drawing>
          <wp:inline distT="0" distB="0" distL="0" distR="0" wp14:anchorId="484B440F" wp14:editId="0A7ED5D5">
            <wp:extent cx="1768475" cy="1388745"/>
            <wp:effectExtent l="0" t="0" r="3175" b="1905"/>
            <wp:docPr id="15" name="Picture 15" descr="Nigeria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Nigeria_co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8475" cy="1388745"/>
                    </a:xfrm>
                    <a:prstGeom prst="rect">
                      <a:avLst/>
                    </a:prstGeom>
                    <a:noFill/>
                    <a:ln>
                      <a:noFill/>
                    </a:ln>
                  </pic:spPr>
                </pic:pic>
              </a:graphicData>
            </a:graphic>
          </wp:inline>
        </w:drawing>
      </w:r>
    </w:p>
    <w:p w14:paraId="4EFED3DF" w14:textId="212624C6" w:rsidR="00380C13" w:rsidRPr="00380C13" w:rsidRDefault="00865C76" w:rsidP="00BD1442">
      <w:pPr>
        <w:spacing w:after="0"/>
        <w:jc w:val="center"/>
        <w:rPr>
          <w:rFonts w:ascii="Arial Black" w:hAnsi="Arial Black" w:cs="Leelawadee"/>
          <w:b/>
          <w:bCs/>
          <w:sz w:val="28"/>
          <w:szCs w:val="28"/>
        </w:rPr>
      </w:pPr>
      <w:r>
        <w:rPr>
          <w:rFonts w:ascii="Arial Black" w:hAnsi="Arial Black" w:cs="Leelawadee"/>
          <w:b/>
          <w:bCs/>
          <w:sz w:val="28"/>
          <w:szCs w:val="28"/>
        </w:rPr>
        <w:t>KEBBI</w:t>
      </w:r>
      <w:r w:rsidR="00380C13" w:rsidRPr="00380C13">
        <w:rPr>
          <w:rFonts w:ascii="Arial Black" w:hAnsi="Arial Black" w:cs="Leelawadee"/>
          <w:b/>
          <w:bCs/>
          <w:sz w:val="28"/>
          <w:szCs w:val="28"/>
        </w:rPr>
        <w:t xml:space="preserve"> STATE</w:t>
      </w:r>
      <w:r w:rsidR="00375095">
        <w:rPr>
          <w:rFonts w:ascii="Arial Black" w:hAnsi="Arial Black" w:cs="Leelawadee"/>
          <w:b/>
          <w:bCs/>
          <w:sz w:val="28"/>
          <w:szCs w:val="28"/>
        </w:rPr>
        <w:t xml:space="preserve"> GOVERNMENT</w:t>
      </w:r>
    </w:p>
    <w:p w14:paraId="4E8B40B1" w14:textId="77777777" w:rsidR="00856B93" w:rsidRPr="00A178A4" w:rsidRDefault="00856B93" w:rsidP="00856B93">
      <w:pPr>
        <w:spacing w:line="360" w:lineRule="auto"/>
        <w:rPr>
          <w:rFonts w:ascii="Leelawadee" w:hAnsi="Leelawadee" w:cs="Leelawadee"/>
        </w:rPr>
      </w:pPr>
    </w:p>
    <w:p w14:paraId="4F3DB485" w14:textId="77777777" w:rsidR="00856B93" w:rsidRPr="00A178A4" w:rsidRDefault="00856B93" w:rsidP="00856B93">
      <w:pPr>
        <w:spacing w:line="360" w:lineRule="auto"/>
        <w:rPr>
          <w:rFonts w:ascii="Leelawadee" w:hAnsi="Leelawadee" w:cs="Leelawadee"/>
        </w:rPr>
      </w:pPr>
    </w:p>
    <w:p w14:paraId="0D433394" w14:textId="77777777" w:rsidR="00856B93" w:rsidRPr="00A178A4" w:rsidRDefault="00856B93" w:rsidP="00856B93">
      <w:pPr>
        <w:spacing w:line="360" w:lineRule="auto"/>
        <w:rPr>
          <w:rFonts w:ascii="Leelawadee" w:hAnsi="Leelawadee" w:cs="Leelawadee"/>
        </w:rPr>
      </w:pPr>
    </w:p>
    <w:p w14:paraId="661E5F66" w14:textId="77777777" w:rsidR="00856B93" w:rsidRDefault="00856B93" w:rsidP="00856B93">
      <w:pPr>
        <w:spacing w:line="360" w:lineRule="auto"/>
        <w:rPr>
          <w:rFonts w:ascii="Leelawadee" w:hAnsi="Leelawadee" w:cs="Leelawadee"/>
        </w:rPr>
      </w:pPr>
    </w:p>
    <w:p w14:paraId="363EB375" w14:textId="77777777" w:rsidR="00856B93" w:rsidRDefault="00856B93" w:rsidP="00856B93">
      <w:pPr>
        <w:spacing w:line="360" w:lineRule="auto"/>
        <w:rPr>
          <w:rFonts w:ascii="Leelawadee" w:hAnsi="Leelawadee" w:cs="Leelawadee"/>
        </w:rPr>
      </w:pPr>
    </w:p>
    <w:p w14:paraId="6422BCE2" w14:textId="77777777" w:rsidR="00856B93" w:rsidRDefault="00856B93" w:rsidP="00856B93">
      <w:pPr>
        <w:spacing w:after="0" w:line="360" w:lineRule="auto"/>
        <w:jc w:val="center"/>
        <w:rPr>
          <w:rFonts w:ascii="Leelawadee" w:hAnsi="Leelawadee" w:cs="Leelawadee"/>
          <w:b/>
          <w:bCs/>
          <w:sz w:val="28"/>
          <w:szCs w:val="28"/>
        </w:rPr>
      </w:pPr>
    </w:p>
    <w:p w14:paraId="6B8988BC" w14:textId="77777777" w:rsidR="003D692B" w:rsidRPr="00A178A4" w:rsidRDefault="003D692B" w:rsidP="00856B93">
      <w:pPr>
        <w:spacing w:after="0" w:line="360" w:lineRule="auto"/>
        <w:jc w:val="center"/>
        <w:rPr>
          <w:rFonts w:ascii="Leelawadee" w:hAnsi="Leelawadee" w:cs="Leelawadee"/>
          <w:b/>
          <w:bCs/>
          <w:sz w:val="28"/>
          <w:szCs w:val="28"/>
        </w:rPr>
      </w:pPr>
    </w:p>
    <w:p w14:paraId="1188A843" w14:textId="098606A8" w:rsidR="00856B93" w:rsidRPr="00440201" w:rsidRDefault="00851A3E" w:rsidP="00380C13">
      <w:pPr>
        <w:spacing w:after="0"/>
        <w:jc w:val="center"/>
        <w:rPr>
          <w:rFonts w:ascii="Arial Black" w:hAnsi="Arial Black" w:cs="Leelawadee"/>
          <w:b/>
          <w:bCs/>
          <w:color w:val="0070C0"/>
          <w:sz w:val="44"/>
          <w:szCs w:val="44"/>
        </w:rPr>
      </w:pPr>
      <w:r w:rsidRPr="00440201">
        <w:rPr>
          <w:rFonts w:ascii="Arial Black" w:hAnsi="Arial Black" w:cs="Leelawadee"/>
          <w:b/>
          <w:bCs/>
          <w:color w:val="0070C0"/>
          <w:sz w:val="44"/>
          <w:szCs w:val="44"/>
        </w:rPr>
        <w:t>202</w:t>
      </w:r>
      <w:r w:rsidR="00BE1B85">
        <w:rPr>
          <w:rFonts w:ascii="Arial Black" w:hAnsi="Arial Black" w:cs="Leelawadee"/>
          <w:b/>
          <w:bCs/>
          <w:color w:val="0070C0"/>
          <w:sz w:val="44"/>
          <w:szCs w:val="44"/>
        </w:rPr>
        <w:t>4</w:t>
      </w:r>
    </w:p>
    <w:p w14:paraId="2E230413" w14:textId="689018EF" w:rsidR="00856B93" w:rsidRPr="001D5AE2" w:rsidRDefault="00856B93" w:rsidP="00380C13">
      <w:pPr>
        <w:spacing w:after="0"/>
        <w:jc w:val="center"/>
        <w:rPr>
          <w:rFonts w:ascii="Arial Black" w:hAnsi="Arial Black" w:cs="Leelawadee"/>
          <w:b/>
          <w:bCs/>
          <w:sz w:val="28"/>
          <w:szCs w:val="28"/>
        </w:rPr>
      </w:pPr>
      <w:r w:rsidRPr="001D5AE2">
        <w:rPr>
          <w:rFonts w:ascii="Arial Black" w:hAnsi="Arial Black" w:cs="Leelawadee"/>
          <w:b/>
          <w:bCs/>
          <w:sz w:val="28"/>
          <w:szCs w:val="28"/>
        </w:rPr>
        <w:t>DEBT SUSTAINABILITY ANALYSIS &amp; DEBT MANAGEMENT STRATEGY (DSA-DMS) REPORT</w:t>
      </w:r>
    </w:p>
    <w:p w14:paraId="106027A5" w14:textId="77777777" w:rsidR="00856B93" w:rsidRPr="001D5AE2" w:rsidRDefault="00856B93" w:rsidP="00856B93">
      <w:pPr>
        <w:spacing w:line="360" w:lineRule="auto"/>
        <w:jc w:val="center"/>
        <w:rPr>
          <w:rFonts w:ascii="Leelawadee" w:hAnsi="Leelawadee" w:cs="Leelawadee"/>
          <w:b/>
          <w:bCs/>
          <w:sz w:val="28"/>
          <w:szCs w:val="28"/>
        </w:rPr>
      </w:pPr>
    </w:p>
    <w:p w14:paraId="76FC34BD" w14:textId="77777777" w:rsidR="00856B93" w:rsidRPr="001D5AE2" w:rsidRDefault="00856B93" w:rsidP="00856B93">
      <w:pPr>
        <w:spacing w:line="360" w:lineRule="auto"/>
        <w:rPr>
          <w:rFonts w:ascii="Leelawadee" w:hAnsi="Leelawadee" w:cs="Leelawadee"/>
        </w:rPr>
      </w:pPr>
    </w:p>
    <w:p w14:paraId="44802FBF" w14:textId="77777777" w:rsidR="00856B93" w:rsidRPr="001D5AE2" w:rsidRDefault="00856B93" w:rsidP="00856B93">
      <w:pPr>
        <w:spacing w:line="360" w:lineRule="auto"/>
        <w:rPr>
          <w:rFonts w:ascii="Leelawadee" w:hAnsi="Leelawadee" w:cs="Leelawadee"/>
        </w:rPr>
      </w:pPr>
    </w:p>
    <w:p w14:paraId="04B47A3F" w14:textId="77777777" w:rsidR="00856B93" w:rsidRPr="001D5AE2" w:rsidRDefault="00856B93" w:rsidP="00856B93">
      <w:pPr>
        <w:spacing w:line="360" w:lineRule="auto"/>
        <w:rPr>
          <w:rFonts w:ascii="Leelawadee" w:hAnsi="Leelawadee" w:cs="Leelawadee"/>
        </w:rPr>
      </w:pPr>
    </w:p>
    <w:p w14:paraId="1AC27DC8" w14:textId="77777777" w:rsidR="00856B93" w:rsidRPr="001D5AE2" w:rsidRDefault="00856B93" w:rsidP="00856B93">
      <w:pPr>
        <w:spacing w:line="360" w:lineRule="auto"/>
        <w:rPr>
          <w:rFonts w:ascii="Leelawadee" w:hAnsi="Leelawadee" w:cs="Leelawadee"/>
        </w:rPr>
      </w:pPr>
    </w:p>
    <w:p w14:paraId="326032A8" w14:textId="77777777" w:rsidR="00856B93" w:rsidRPr="001D5AE2" w:rsidRDefault="00856B93" w:rsidP="00856B93">
      <w:pPr>
        <w:spacing w:line="360" w:lineRule="auto"/>
        <w:rPr>
          <w:rFonts w:ascii="Leelawadee" w:hAnsi="Leelawadee" w:cs="Leelawadee"/>
        </w:rPr>
      </w:pPr>
    </w:p>
    <w:p w14:paraId="628FD77D" w14:textId="77777777" w:rsidR="00706214" w:rsidRPr="001D5AE2" w:rsidRDefault="00706214" w:rsidP="00856B93">
      <w:pPr>
        <w:spacing w:line="360" w:lineRule="auto"/>
        <w:rPr>
          <w:rFonts w:ascii="Leelawadee" w:hAnsi="Leelawadee" w:cs="Leelawadee"/>
        </w:rPr>
      </w:pPr>
    </w:p>
    <w:p w14:paraId="54AD9AB2" w14:textId="77777777" w:rsidR="00706214" w:rsidRPr="001D5AE2" w:rsidRDefault="00706214" w:rsidP="00856B93">
      <w:pPr>
        <w:spacing w:line="360" w:lineRule="auto"/>
        <w:rPr>
          <w:rFonts w:ascii="Leelawadee" w:hAnsi="Leelawadee" w:cs="Leelawadee"/>
        </w:rPr>
      </w:pPr>
    </w:p>
    <w:p w14:paraId="7C59366F" w14:textId="77777777" w:rsidR="00856B93" w:rsidRPr="001D5AE2" w:rsidRDefault="00856B93" w:rsidP="00856B93">
      <w:pPr>
        <w:pStyle w:val="TOCHeading"/>
        <w:spacing w:line="480" w:lineRule="auto"/>
        <w:rPr>
          <w:rFonts w:ascii="Leelawadee" w:hAnsi="Leelawadee" w:cs="Leelawadee"/>
          <w:b/>
          <w:bCs/>
          <w:color w:val="4472C4"/>
          <w:sz w:val="28"/>
          <w:szCs w:val="28"/>
        </w:rPr>
      </w:pPr>
      <w:r w:rsidRPr="001D5AE2">
        <w:rPr>
          <w:rFonts w:ascii="Leelawadee" w:hAnsi="Leelawadee" w:cs="Leelawadee"/>
          <w:b/>
          <w:bCs/>
          <w:color w:val="4472C4"/>
          <w:sz w:val="28"/>
          <w:szCs w:val="28"/>
        </w:rPr>
        <w:t>Table of Contents</w:t>
      </w:r>
    </w:p>
    <w:p w14:paraId="79B05729" w14:textId="4FB80951" w:rsidR="005E6052" w:rsidRPr="001D5AE2" w:rsidRDefault="00856B93" w:rsidP="005E6052">
      <w:pPr>
        <w:pStyle w:val="TOC1"/>
        <w:tabs>
          <w:tab w:val="left" w:pos="1440"/>
          <w:tab w:val="right" w:leader="dot" w:pos="8630"/>
        </w:tabs>
        <w:spacing w:line="480" w:lineRule="auto"/>
        <w:rPr>
          <w:rFonts w:asciiTheme="minorHAnsi" w:eastAsiaTheme="minorEastAsia" w:hAnsiTheme="minorHAnsi" w:cstheme="minorBidi"/>
          <w:noProof/>
          <w:kern w:val="2"/>
          <w:sz w:val="24"/>
          <w:szCs w:val="24"/>
          <w14:ligatures w14:val="standardContextual"/>
        </w:rPr>
      </w:pPr>
      <w:r w:rsidRPr="001D5AE2">
        <w:rPr>
          <w:rFonts w:ascii="Tahoma" w:hAnsi="Tahoma" w:cs="Tahoma"/>
        </w:rPr>
        <w:fldChar w:fldCharType="begin"/>
      </w:r>
      <w:r w:rsidRPr="001D5AE2">
        <w:rPr>
          <w:rFonts w:ascii="Tahoma" w:hAnsi="Tahoma" w:cs="Tahoma"/>
        </w:rPr>
        <w:instrText xml:space="preserve"> TOC \o "1-3" \h \z \u </w:instrText>
      </w:r>
      <w:r w:rsidRPr="001D5AE2">
        <w:rPr>
          <w:rFonts w:ascii="Tahoma" w:hAnsi="Tahoma" w:cs="Tahoma"/>
        </w:rPr>
        <w:fldChar w:fldCharType="separate"/>
      </w:r>
      <w:hyperlink w:anchor="_Toc184224157" w:history="1">
        <w:r w:rsidR="005E6052" w:rsidRPr="001D5AE2">
          <w:rPr>
            <w:rStyle w:val="Hyperlink"/>
            <w:rFonts w:ascii="Tahoma" w:hAnsi="Tahoma" w:cs="Tahoma"/>
            <w:noProof/>
          </w:rPr>
          <w:t>Chapter 1:</w:t>
        </w:r>
        <w:r w:rsidR="005E6052" w:rsidRPr="001D5AE2">
          <w:rPr>
            <w:rFonts w:asciiTheme="minorHAnsi" w:eastAsiaTheme="minorEastAsia" w:hAnsiTheme="minorHAnsi" w:cstheme="minorBidi"/>
            <w:noProof/>
            <w:kern w:val="2"/>
            <w:sz w:val="24"/>
            <w:szCs w:val="24"/>
            <w14:ligatures w14:val="standardContextual"/>
          </w:rPr>
          <w:tab/>
        </w:r>
        <w:r w:rsidR="005E6052" w:rsidRPr="001D5AE2">
          <w:rPr>
            <w:rStyle w:val="Hyperlink"/>
            <w:rFonts w:ascii="Tahoma" w:hAnsi="Tahoma" w:cs="Tahoma"/>
            <w:noProof/>
          </w:rPr>
          <w:t>Introduction</w:t>
        </w:r>
        <w:r w:rsidR="005E6052" w:rsidRPr="001D5AE2">
          <w:rPr>
            <w:noProof/>
            <w:webHidden/>
          </w:rPr>
          <w:tab/>
        </w:r>
        <w:r w:rsidR="005E6052" w:rsidRPr="001D5AE2">
          <w:rPr>
            <w:noProof/>
            <w:webHidden/>
          </w:rPr>
          <w:fldChar w:fldCharType="begin"/>
        </w:r>
        <w:r w:rsidR="005E6052" w:rsidRPr="001D5AE2">
          <w:rPr>
            <w:noProof/>
            <w:webHidden/>
          </w:rPr>
          <w:instrText xml:space="preserve"> PAGEREF _Toc184224157 \h </w:instrText>
        </w:r>
        <w:r w:rsidR="005E6052" w:rsidRPr="001D5AE2">
          <w:rPr>
            <w:noProof/>
            <w:webHidden/>
          </w:rPr>
        </w:r>
        <w:r w:rsidR="005E6052" w:rsidRPr="001D5AE2">
          <w:rPr>
            <w:noProof/>
            <w:webHidden/>
          </w:rPr>
          <w:fldChar w:fldCharType="separate"/>
        </w:r>
        <w:r w:rsidR="00B00423">
          <w:rPr>
            <w:noProof/>
            <w:webHidden/>
          </w:rPr>
          <w:t>3</w:t>
        </w:r>
        <w:r w:rsidR="005E6052" w:rsidRPr="001D5AE2">
          <w:rPr>
            <w:noProof/>
            <w:webHidden/>
          </w:rPr>
          <w:fldChar w:fldCharType="end"/>
        </w:r>
      </w:hyperlink>
    </w:p>
    <w:p w14:paraId="7D0CB3CE" w14:textId="75BC0A82" w:rsidR="005E6052" w:rsidRPr="001D5AE2" w:rsidRDefault="00B00423" w:rsidP="005E6052">
      <w:pPr>
        <w:pStyle w:val="TOC1"/>
        <w:tabs>
          <w:tab w:val="left" w:pos="1440"/>
          <w:tab w:val="right" w:leader="dot" w:pos="8630"/>
        </w:tabs>
        <w:spacing w:line="480" w:lineRule="auto"/>
        <w:rPr>
          <w:rFonts w:asciiTheme="minorHAnsi" w:eastAsiaTheme="minorEastAsia" w:hAnsiTheme="minorHAnsi" w:cstheme="minorBidi"/>
          <w:noProof/>
          <w:kern w:val="2"/>
          <w:sz w:val="24"/>
          <w:szCs w:val="24"/>
          <w14:ligatures w14:val="standardContextual"/>
        </w:rPr>
      </w:pPr>
      <w:hyperlink w:anchor="_Toc184224158" w:history="1">
        <w:r w:rsidR="005E6052" w:rsidRPr="001D5AE2">
          <w:rPr>
            <w:rStyle w:val="Hyperlink"/>
            <w:rFonts w:ascii="Tahoma" w:hAnsi="Tahoma" w:cs="Tahoma"/>
            <w:noProof/>
          </w:rPr>
          <w:t>Chapter 2:</w:t>
        </w:r>
        <w:r w:rsidR="005E6052" w:rsidRPr="001D5AE2">
          <w:rPr>
            <w:rFonts w:asciiTheme="minorHAnsi" w:eastAsiaTheme="minorEastAsia" w:hAnsiTheme="minorHAnsi" w:cstheme="minorBidi"/>
            <w:noProof/>
            <w:kern w:val="2"/>
            <w:sz w:val="24"/>
            <w:szCs w:val="24"/>
            <w14:ligatures w14:val="standardContextual"/>
          </w:rPr>
          <w:tab/>
        </w:r>
        <w:r w:rsidR="005E6052" w:rsidRPr="001D5AE2">
          <w:rPr>
            <w:rStyle w:val="Hyperlink"/>
            <w:rFonts w:ascii="Tahoma" w:hAnsi="Tahoma" w:cs="Tahoma"/>
            <w:noProof/>
          </w:rPr>
          <w:t>The State Fiscal and Debt Framework</w:t>
        </w:r>
        <w:r w:rsidR="005E6052" w:rsidRPr="001D5AE2">
          <w:rPr>
            <w:noProof/>
            <w:webHidden/>
          </w:rPr>
          <w:tab/>
        </w:r>
        <w:r w:rsidR="005E6052" w:rsidRPr="001D5AE2">
          <w:rPr>
            <w:noProof/>
            <w:webHidden/>
          </w:rPr>
          <w:fldChar w:fldCharType="begin"/>
        </w:r>
        <w:r w:rsidR="005E6052" w:rsidRPr="001D5AE2">
          <w:rPr>
            <w:noProof/>
            <w:webHidden/>
          </w:rPr>
          <w:instrText xml:space="preserve"> PAGEREF _Toc184224158 \h </w:instrText>
        </w:r>
        <w:r w:rsidR="005E6052" w:rsidRPr="001D5AE2">
          <w:rPr>
            <w:noProof/>
            <w:webHidden/>
          </w:rPr>
        </w:r>
        <w:r w:rsidR="005E6052" w:rsidRPr="001D5AE2">
          <w:rPr>
            <w:noProof/>
            <w:webHidden/>
          </w:rPr>
          <w:fldChar w:fldCharType="separate"/>
        </w:r>
        <w:r>
          <w:rPr>
            <w:noProof/>
            <w:webHidden/>
          </w:rPr>
          <w:t>8</w:t>
        </w:r>
        <w:r w:rsidR="005E6052" w:rsidRPr="001D5AE2">
          <w:rPr>
            <w:noProof/>
            <w:webHidden/>
          </w:rPr>
          <w:fldChar w:fldCharType="end"/>
        </w:r>
      </w:hyperlink>
    </w:p>
    <w:p w14:paraId="6B5AE609" w14:textId="2D9F943C" w:rsidR="005E6052" w:rsidRPr="001D5AE2" w:rsidRDefault="00B00423" w:rsidP="005E6052">
      <w:pPr>
        <w:pStyle w:val="TOC1"/>
        <w:tabs>
          <w:tab w:val="left" w:pos="1440"/>
          <w:tab w:val="right" w:leader="dot" w:pos="8630"/>
        </w:tabs>
        <w:spacing w:line="480" w:lineRule="auto"/>
        <w:rPr>
          <w:rFonts w:asciiTheme="minorHAnsi" w:eastAsiaTheme="minorEastAsia" w:hAnsiTheme="minorHAnsi" w:cstheme="minorBidi"/>
          <w:noProof/>
          <w:kern w:val="2"/>
          <w:sz w:val="24"/>
          <w:szCs w:val="24"/>
          <w14:ligatures w14:val="standardContextual"/>
        </w:rPr>
      </w:pPr>
      <w:hyperlink w:anchor="_Toc184224159" w:history="1">
        <w:r w:rsidR="005E6052" w:rsidRPr="001D5AE2">
          <w:rPr>
            <w:rStyle w:val="Hyperlink"/>
            <w:rFonts w:ascii="Tahoma" w:hAnsi="Tahoma" w:cs="Tahoma"/>
            <w:noProof/>
          </w:rPr>
          <w:t>Chapter 3:</w:t>
        </w:r>
        <w:r w:rsidR="005E6052" w:rsidRPr="001D5AE2">
          <w:rPr>
            <w:rFonts w:asciiTheme="minorHAnsi" w:eastAsiaTheme="minorEastAsia" w:hAnsiTheme="minorHAnsi" w:cstheme="minorBidi"/>
            <w:noProof/>
            <w:kern w:val="2"/>
            <w:sz w:val="24"/>
            <w:szCs w:val="24"/>
            <w14:ligatures w14:val="standardContextual"/>
          </w:rPr>
          <w:tab/>
        </w:r>
        <w:r w:rsidR="005E6052" w:rsidRPr="001D5AE2">
          <w:rPr>
            <w:rStyle w:val="Hyperlink"/>
            <w:rFonts w:ascii="Tahoma" w:hAnsi="Tahoma" w:cs="Tahoma"/>
            <w:noProof/>
          </w:rPr>
          <w:t>The State Revenue, Expenditure, and Public Debt Trends (2019 - 2023)</w:t>
        </w:r>
        <w:r w:rsidR="005E6052" w:rsidRPr="001D5AE2">
          <w:rPr>
            <w:noProof/>
            <w:webHidden/>
          </w:rPr>
          <w:tab/>
        </w:r>
        <w:r w:rsidR="005E6052" w:rsidRPr="001D5AE2">
          <w:rPr>
            <w:noProof/>
            <w:webHidden/>
          </w:rPr>
          <w:fldChar w:fldCharType="begin"/>
        </w:r>
        <w:r w:rsidR="005E6052" w:rsidRPr="001D5AE2">
          <w:rPr>
            <w:noProof/>
            <w:webHidden/>
          </w:rPr>
          <w:instrText xml:space="preserve"> PAGEREF _Toc184224159 \h </w:instrText>
        </w:r>
        <w:r w:rsidR="005E6052" w:rsidRPr="001D5AE2">
          <w:rPr>
            <w:noProof/>
            <w:webHidden/>
          </w:rPr>
        </w:r>
        <w:r w:rsidR="005E6052" w:rsidRPr="001D5AE2">
          <w:rPr>
            <w:noProof/>
            <w:webHidden/>
          </w:rPr>
          <w:fldChar w:fldCharType="separate"/>
        </w:r>
        <w:r>
          <w:rPr>
            <w:noProof/>
            <w:webHidden/>
          </w:rPr>
          <w:t>19</w:t>
        </w:r>
        <w:r w:rsidR="005E6052" w:rsidRPr="001D5AE2">
          <w:rPr>
            <w:noProof/>
            <w:webHidden/>
          </w:rPr>
          <w:fldChar w:fldCharType="end"/>
        </w:r>
      </w:hyperlink>
    </w:p>
    <w:p w14:paraId="1937DF62" w14:textId="534F6C8F" w:rsidR="005E6052" w:rsidRPr="001D5AE2" w:rsidRDefault="00B00423" w:rsidP="005E6052">
      <w:pPr>
        <w:pStyle w:val="TOC1"/>
        <w:tabs>
          <w:tab w:val="left" w:pos="1440"/>
          <w:tab w:val="right" w:leader="dot" w:pos="8630"/>
        </w:tabs>
        <w:spacing w:line="480" w:lineRule="auto"/>
        <w:rPr>
          <w:rFonts w:asciiTheme="minorHAnsi" w:eastAsiaTheme="minorEastAsia" w:hAnsiTheme="minorHAnsi" w:cstheme="minorBidi"/>
          <w:noProof/>
          <w:kern w:val="2"/>
          <w:sz w:val="24"/>
          <w:szCs w:val="24"/>
          <w14:ligatures w14:val="standardContextual"/>
        </w:rPr>
      </w:pPr>
      <w:hyperlink w:anchor="_Toc184224160" w:history="1">
        <w:r w:rsidR="005E6052" w:rsidRPr="001D5AE2">
          <w:rPr>
            <w:rStyle w:val="Hyperlink"/>
            <w:rFonts w:ascii="Tahoma" w:hAnsi="Tahoma" w:cs="Tahoma"/>
            <w:noProof/>
          </w:rPr>
          <w:t>Chapter 4:</w:t>
        </w:r>
        <w:r w:rsidR="005E6052" w:rsidRPr="001D5AE2">
          <w:rPr>
            <w:rFonts w:asciiTheme="minorHAnsi" w:eastAsiaTheme="minorEastAsia" w:hAnsiTheme="minorHAnsi" w:cstheme="minorBidi"/>
            <w:noProof/>
            <w:kern w:val="2"/>
            <w:sz w:val="24"/>
            <w:szCs w:val="24"/>
            <w14:ligatures w14:val="standardContextual"/>
          </w:rPr>
          <w:tab/>
        </w:r>
        <w:r w:rsidR="005E6052" w:rsidRPr="001D5AE2">
          <w:rPr>
            <w:rStyle w:val="Hyperlink"/>
            <w:rFonts w:ascii="Tahoma" w:hAnsi="Tahoma" w:cs="Tahoma"/>
            <w:noProof/>
          </w:rPr>
          <w:t>Debt Sustainability Analysis</w:t>
        </w:r>
        <w:r w:rsidR="005E6052" w:rsidRPr="001D5AE2">
          <w:rPr>
            <w:noProof/>
            <w:webHidden/>
          </w:rPr>
          <w:tab/>
        </w:r>
        <w:r w:rsidR="005E6052" w:rsidRPr="001D5AE2">
          <w:rPr>
            <w:noProof/>
            <w:webHidden/>
          </w:rPr>
          <w:fldChar w:fldCharType="begin"/>
        </w:r>
        <w:r w:rsidR="005E6052" w:rsidRPr="001D5AE2">
          <w:rPr>
            <w:noProof/>
            <w:webHidden/>
          </w:rPr>
          <w:instrText xml:space="preserve"> PAGEREF _Toc184224160 \h </w:instrText>
        </w:r>
        <w:r w:rsidR="005E6052" w:rsidRPr="001D5AE2">
          <w:rPr>
            <w:noProof/>
            <w:webHidden/>
          </w:rPr>
        </w:r>
        <w:r w:rsidR="005E6052" w:rsidRPr="001D5AE2">
          <w:rPr>
            <w:noProof/>
            <w:webHidden/>
          </w:rPr>
          <w:fldChar w:fldCharType="separate"/>
        </w:r>
        <w:r>
          <w:rPr>
            <w:noProof/>
            <w:webHidden/>
          </w:rPr>
          <w:t>24</w:t>
        </w:r>
        <w:r w:rsidR="005E6052" w:rsidRPr="001D5AE2">
          <w:rPr>
            <w:noProof/>
            <w:webHidden/>
          </w:rPr>
          <w:fldChar w:fldCharType="end"/>
        </w:r>
      </w:hyperlink>
    </w:p>
    <w:p w14:paraId="0F816CAD" w14:textId="602479E3" w:rsidR="005E6052" w:rsidRPr="001D5AE2" w:rsidRDefault="00B00423" w:rsidP="005E6052">
      <w:pPr>
        <w:pStyle w:val="TOC1"/>
        <w:tabs>
          <w:tab w:val="left" w:pos="1440"/>
          <w:tab w:val="right" w:leader="dot" w:pos="8630"/>
        </w:tabs>
        <w:spacing w:line="480" w:lineRule="auto"/>
        <w:rPr>
          <w:rFonts w:asciiTheme="minorHAnsi" w:eastAsiaTheme="minorEastAsia" w:hAnsiTheme="minorHAnsi" w:cstheme="minorBidi"/>
          <w:noProof/>
          <w:kern w:val="2"/>
          <w:sz w:val="24"/>
          <w:szCs w:val="24"/>
          <w14:ligatures w14:val="standardContextual"/>
        </w:rPr>
      </w:pPr>
      <w:hyperlink w:anchor="_Toc184224161" w:history="1">
        <w:r w:rsidR="005E6052" w:rsidRPr="001D5AE2">
          <w:rPr>
            <w:rStyle w:val="Hyperlink"/>
            <w:rFonts w:ascii="Tahoma" w:hAnsi="Tahoma" w:cs="Tahoma"/>
            <w:noProof/>
          </w:rPr>
          <w:t>Chapter 5:</w:t>
        </w:r>
        <w:r w:rsidR="005E6052" w:rsidRPr="001D5AE2">
          <w:rPr>
            <w:rFonts w:asciiTheme="minorHAnsi" w:eastAsiaTheme="minorEastAsia" w:hAnsiTheme="minorHAnsi" w:cstheme="minorBidi"/>
            <w:noProof/>
            <w:kern w:val="2"/>
            <w:sz w:val="24"/>
            <w:szCs w:val="24"/>
            <w14:ligatures w14:val="standardContextual"/>
          </w:rPr>
          <w:tab/>
        </w:r>
        <w:r w:rsidR="005E6052" w:rsidRPr="001D5AE2">
          <w:rPr>
            <w:rStyle w:val="Hyperlink"/>
            <w:rFonts w:ascii="Tahoma" w:hAnsi="Tahoma" w:cs="Tahoma"/>
            <w:noProof/>
          </w:rPr>
          <w:t>Debt Management Strategy</w:t>
        </w:r>
        <w:r w:rsidR="005E6052" w:rsidRPr="001D5AE2">
          <w:rPr>
            <w:noProof/>
            <w:webHidden/>
          </w:rPr>
          <w:tab/>
        </w:r>
        <w:r w:rsidR="005E6052" w:rsidRPr="001D5AE2">
          <w:rPr>
            <w:noProof/>
            <w:webHidden/>
          </w:rPr>
          <w:fldChar w:fldCharType="begin"/>
        </w:r>
        <w:r w:rsidR="005E6052" w:rsidRPr="001D5AE2">
          <w:rPr>
            <w:noProof/>
            <w:webHidden/>
          </w:rPr>
          <w:instrText xml:space="preserve"> PAGEREF _Toc184224161 \h </w:instrText>
        </w:r>
        <w:r w:rsidR="005E6052" w:rsidRPr="001D5AE2">
          <w:rPr>
            <w:noProof/>
            <w:webHidden/>
          </w:rPr>
        </w:r>
        <w:r w:rsidR="005E6052" w:rsidRPr="001D5AE2">
          <w:rPr>
            <w:noProof/>
            <w:webHidden/>
          </w:rPr>
          <w:fldChar w:fldCharType="separate"/>
        </w:r>
        <w:r>
          <w:rPr>
            <w:noProof/>
            <w:webHidden/>
          </w:rPr>
          <w:t>36</w:t>
        </w:r>
        <w:r w:rsidR="005E6052" w:rsidRPr="001D5AE2">
          <w:rPr>
            <w:noProof/>
            <w:webHidden/>
          </w:rPr>
          <w:fldChar w:fldCharType="end"/>
        </w:r>
      </w:hyperlink>
    </w:p>
    <w:p w14:paraId="7332D38E" w14:textId="1886BD2F" w:rsidR="005E6052" w:rsidRPr="001D5AE2" w:rsidRDefault="00B00423" w:rsidP="005E6052">
      <w:pPr>
        <w:pStyle w:val="TOC1"/>
        <w:tabs>
          <w:tab w:val="right" w:leader="dot" w:pos="8630"/>
        </w:tabs>
        <w:spacing w:line="480" w:lineRule="auto"/>
        <w:rPr>
          <w:rFonts w:asciiTheme="minorHAnsi" w:eastAsiaTheme="minorEastAsia" w:hAnsiTheme="minorHAnsi" w:cstheme="minorBidi"/>
          <w:noProof/>
          <w:kern w:val="2"/>
          <w:sz w:val="24"/>
          <w:szCs w:val="24"/>
          <w14:ligatures w14:val="standardContextual"/>
        </w:rPr>
      </w:pPr>
      <w:hyperlink w:anchor="_Toc184224162" w:history="1">
        <w:r w:rsidR="005E6052" w:rsidRPr="001D5AE2">
          <w:rPr>
            <w:rStyle w:val="Hyperlink"/>
            <w:rFonts w:ascii="Tahoma" w:hAnsi="Tahoma" w:cs="Tahoma"/>
            <w:noProof/>
          </w:rPr>
          <w:t>Summary of 2024 DSA-DMS</w:t>
        </w:r>
        <w:r w:rsidR="005E6052" w:rsidRPr="001D5AE2">
          <w:rPr>
            <w:noProof/>
            <w:webHidden/>
          </w:rPr>
          <w:tab/>
        </w:r>
        <w:r w:rsidR="005E6052" w:rsidRPr="001D5AE2">
          <w:rPr>
            <w:noProof/>
            <w:webHidden/>
          </w:rPr>
          <w:fldChar w:fldCharType="begin"/>
        </w:r>
        <w:r w:rsidR="005E6052" w:rsidRPr="001D5AE2">
          <w:rPr>
            <w:noProof/>
            <w:webHidden/>
          </w:rPr>
          <w:instrText xml:space="preserve"> PAGEREF _Toc184224162 \h </w:instrText>
        </w:r>
        <w:r w:rsidR="005E6052" w:rsidRPr="001D5AE2">
          <w:rPr>
            <w:noProof/>
            <w:webHidden/>
          </w:rPr>
        </w:r>
        <w:r w:rsidR="005E6052" w:rsidRPr="001D5AE2">
          <w:rPr>
            <w:noProof/>
            <w:webHidden/>
          </w:rPr>
          <w:fldChar w:fldCharType="separate"/>
        </w:r>
        <w:r>
          <w:rPr>
            <w:noProof/>
            <w:webHidden/>
          </w:rPr>
          <w:t>41</w:t>
        </w:r>
        <w:r w:rsidR="005E6052" w:rsidRPr="001D5AE2">
          <w:rPr>
            <w:noProof/>
            <w:webHidden/>
          </w:rPr>
          <w:fldChar w:fldCharType="end"/>
        </w:r>
      </w:hyperlink>
    </w:p>
    <w:p w14:paraId="7FEADCF4" w14:textId="014B004D" w:rsidR="005E6052" w:rsidRPr="001D5AE2" w:rsidRDefault="00B00423" w:rsidP="005E6052">
      <w:pPr>
        <w:pStyle w:val="TOC2"/>
        <w:tabs>
          <w:tab w:val="right" w:leader="dot" w:pos="8630"/>
        </w:tabs>
        <w:spacing w:line="480" w:lineRule="auto"/>
        <w:rPr>
          <w:rFonts w:asciiTheme="minorHAnsi" w:eastAsiaTheme="minorEastAsia" w:hAnsiTheme="minorHAnsi" w:cstheme="minorBidi"/>
          <w:noProof/>
          <w:kern w:val="2"/>
          <w:sz w:val="24"/>
          <w:szCs w:val="24"/>
          <w14:ligatures w14:val="standardContextual"/>
        </w:rPr>
      </w:pPr>
      <w:hyperlink w:anchor="_Toc184224163" w:history="1">
        <w:r w:rsidR="005E6052" w:rsidRPr="001D5AE2">
          <w:rPr>
            <w:rStyle w:val="Hyperlink"/>
            <w:rFonts w:ascii="Tahoma" w:hAnsi="Tahoma" w:cs="Tahoma"/>
            <w:noProof/>
          </w:rPr>
          <w:t>Annex I: Baseline Assumptions</w:t>
        </w:r>
        <w:r w:rsidR="005E6052" w:rsidRPr="001D5AE2">
          <w:rPr>
            <w:noProof/>
            <w:webHidden/>
          </w:rPr>
          <w:tab/>
        </w:r>
        <w:r w:rsidR="005E6052" w:rsidRPr="001D5AE2">
          <w:rPr>
            <w:noProof/>
            <w:webHidden/>
          </w:rPr>
          <w:fldChar w:fldCharType="begin"/>
        </w:r>
        <w:r w:rsidR="005E6052" w:rsidRPr="001D5AE2">
          <w:rPr>
            <w:noProof/>
            <w:webHidden/>
          </w:rPr>
          <w:instrText xml:space="preserve"> PAGEREF _Toc184224163 \h </w:instrText>
        </w:r>
        <w:r w:rsidR="005E6052" w:rsidRPr="001D5AE2">
          <w:rPr>
            <w:noProof/>
            <w:webHidden/>
          </w:rPr>
        </w:r>
        <w:r w:rsidR="005E6052" w:rsidRPr="001D5AE2">
          <w:rPr>
            <w:noProof/>
            <w:webHidden/>
          </w:rPr>
          <w:fldChar w:fldCharType="separate"/>
        </w:r>
        <w:r>
          <w:rPr>
            <w:noProof/>
            <w:webHidden/>
          </w:rPr>
          <w:t>41</w:t>
        </w:r>
        <w:r w:rsidR="005E6052" w:rsidRPr="001D5AE2">
          <w:rPr>
            <w:noProof/>
            <w:webHidden/>
          </w:rPr>
          <w:fldChar w:fldCharType="end"/>
        </w:r>
      </w:hyperlink>
    </w:p>
    <w:p w14:paraId="702B6BE8" w14:textId="3F588923" w:rsidR="005E6052" w:rsidRPr="001D5AE2" w:rsidRDefault="00B00423" w:rsidP="005E6052">
      <w:pPr>
        <w:pStyle w:val="TOC2"/>
        <w:tabs>
          <w:tab w:val="right" w:leader="dot" w:pos="8630"/>
        </w:tabs>
        <w:spacing w:line="480" w:lineRule="auto"/>
        <w:rPr>
          <w:rFonts w:asciiTheme="minorHAnsi" w:eastAsiaTheme="minorEastAsia" w:hAnsiTheme="minorHAnsi" w:cstheme="minorBidi"/>
          <w:noProof/>
          <w:kern w:val="2"/>
          <w:sz w:val="24"/>
          <w:szCs w:val="24"/>
          <w14:ligatures w14:val="standardContextual"/>
        </w:rPr>
      </w:pPr>
      <w:hyperlink w:anchor="_Toc184224164" w:history="1">
        <w:r w:rsidR="005E6052" w:rsidRPr="001D5AE2">
          <w:rPr>
            <w:rStyle w:val="Hyperlink"/>
            <w:rFonts w:ascii="Leelawadee" w:hAnsi="Leelawadee" w:cs="Leelawadee"/>
            <w:noProof/>
          </w:rPr>
          <w:t>Annex II: Kebbi State Baseline Scenarios, 2019-2033</w:t>
        </w:r>
        <w:r w:rsidR="005E6052" w:rsidRPr="001D5AE2">
          <w:rPr>
            <w:noProof/>
            <w:webHidden/>
          </w:rPr>
          <w:tab/>
        </w:r>
        <w:r w:rsidR="005E6052" w:rsidRPr="001D5AE2">
          <w:rPr>
            <w:noProof/>
            <w:webHidden/>
          </w:rPr>
          <w:fldChar w:fldCharType="begin"/>
        </w:r>
        <w:r w:rsidR="005E6052" w:rsidRPr="001D5AE2">
          <w:rPr>
            <w:noProof/>
            <w:webHidden/>
          </w:rPr>
          <w:instrText xml:space="preserve"> PAGEREF _Toc184224164 \h </w:instrText>
        </w:r>
        <w:r w:rsidR="005E6052" w:rsidRPr="001D5AE2">
          <w:rPr>
            <w:noProof/>
            <w:webHidden/>
          </w:rPr>
        </w:r>
        <w:r w:rsidR="005E6052" w:rsidRPr="001D5AE2">
          <w:rPr>
            <w:noProof/>
            <w:webHidden/>
          </w:rPr>
          <w:fldChar w:fldCharType="separate"/>
        </w:r>
        <w:r>
          <w:rPr>
            <w:noProof/>
            <w:webHidden/>
          </w:rPr>
          <w:t>45</w:t>
        </w:r>
        <w:r w:rsidR="005E6052" w:rsidRPr="001D5AE2">
          <w:rPr>
            <w:noProof/>
            <w:webHidden/>
          </w:rPr>
          <w:fldChar w:fldCharType="end"/>
        </w:r>
      </w:hyperlink>
    </w:p>
    <w:p w14:paraId="5DA556EC" w14:textId="28880381" w:rsidR="00856B93" w:rsidRPr="001D5AE2" w:rsidRDefault="00B00423" w:rsidP="0097614A">
      <w:pPr>
        <w:pStyle w:val="TOC2"/>
        <w:tabs>
          <w:tab w:val="right" w:leader="dot" w:pos="8630"/>
        </w:tabs>
        <w:spacing w:line="480" w:lineRule="auto"/>
        <w:rPr>
          <w:rFonts w:ascii="Leelawadee" w:hAnsi="Leelawadee" w:cs="Leelawadee"/>
        </w:rPr>
      </w:pPr>
      <w:hyperlink w:anchor="_Toc184224165" w:history="1">
        <w:r w:rsidR="005E6052" w:rsidRPr="001D5AE2">
          <w:rPr>
            <w:rStyle w:val="Hyperlink"/>
            <w:rFonts w:ascii="Leelawadee" w:hAnsi="Leelawadee" w:cs="Leelawadee"/>
            <w:noProof/>
          </w:rPr>
          <w:t>Kebbi State - Technical Team</w:t>
        </w:r>
        <w:r w:rsidR="005E6052" w:rsidRPr="001D5AE2">
          <w:rPr>
            <w:noProof/>
            <w:webHidden/>
          </w:rPr>
          <w:tab/>
        </w:r>
        <w:r w:rsidR="0097614A">
          <w:rPr>
            <w:noProof/>
            <w:webHidden/>
          </w:rPr>
          <w:t>46</w:t>
        </w:r>
      </w:hyperlink>
      <w:r w:rsidR="00856B93" w:rsidRPr="001D5AE2">
        <w:rPr>
          <w:rFonts w:ascii="Tahoma" w:hAnsi="Tahoma" w:cs="Tahoma"/>
          <w:noProof/>
        </w:rPr>
        <w:fldChar w:fldCharType="end"/>
      </w:r>
    </w:p>
    <w:p w14:paraId="2B047786" w14:textId="77777777" w:rsidR="00856B93" w:rsidRPr="001D5AE2" w:rsidRDefault="00856B93" w:rsidP="00856B93">
      <w:pPr>
        <w:spacing w:line="360" w:lineRule="auto"/>
        <w:jc w:val="both"/>
        <w:rPr>
          <w:rFonts w:ascii="Leelawadee" w:hAnsi="Leelawadee" w:cs="Leelawadee"/>
        </w:rPr>
      </w:pPr>
    </w:p>
    <w:p w14:paraId="656A16B6" w14:textId="77777777" w:rsidR="00856B93" w:rsidRPr="001D5AE2" w:rsidRDefault="00856B93" w:rsidP="00856B93">
      <w:pPr>
        <w:spacing w:line="360" w:lineRule="auto"/>
        <w:jc w:val="both"/>
        <w:rPr>
          <w:rFonts w:ascii="Leelawadee" w:hAnsi="Leelawadee" w:cs="Leelawadee"/>
        </w:rPr>
      </w:pPr>
    </w:p>
    <w:p w14:paraId="31F62573" w14:textId="77777777" w:rsidR="00856B93" w:rsidRPr="001D5AE2" w:rsidRDefault="00856B93" w:rsidP="00856B93">
      <w:pPr>
        <w:spacing w:line="360" w:lineRule="auto"/>
        <w:jc w:val="both"/>
        <w:rPr>
          <w:rFonts w:ascii="Leelawadee" w:hAnsi="Leelawadee" w:cs="Leelawadee"/>
        </w:rPr>
      </w:pPr>
    </w:p>
    <w:p w14:paraId="4B0784BE" w14:textId="77777777" w:rsidR="00856B93" w:rsidRPr="001D5AE2" w:rsidRDefault="00856B93" w:rsidP="00856B93">
      <w:pPr>
        <w:spacing w:line="360" w:lineRule="auto"/>
        <w:jc w:val="both"/>
        <w:rPr>
          <w:rFonts w:ascii="Leelawadee" w:hAnsi="Leelawadee" w:cs="Leelawadee"/>
        </w:rPr>
      </w:pPr>
    </w:p>
    <w:p w14:paraId="1E5A259F" w14:textId="77777777" w:rsidR="00D60823" w:rsidRPr="001D5AE2" w:rsidRDefault="00D60823" w:rsidP="00856B93">
      <w:pPr>
        <w:spacing w:line="360" w:lineRule="auto"/>
        <w:jc w:val="both"/>
        <w:rPr>
          <w:rFonts w:ascii="Leelawadee" w:hAnsi="Leelawadee" w:cs="Leelawadee"/>
        </w:rPr>
      </w:pPr>
    </w:p>
    <w:p w14:paraId="60ADEBA2" w14:textId="77777777" w:rsidR="00D60823" w:rsidRPr="001D5AE2" w:rsidRDefault="00D60823" w:rsidP="00856B93">
      <w:pPr>
        <w:spacing w:line="360" w:lineRule="auto"/>
        <w:jc w:val="both"/>
        <w:rPr>
          <w:rFonts w:ascii="Leelawadee" w:hAnsi="Leelawadee" w:cs="Leelawadee"/>
        </w:rPr>
      </w:pPr>
    </w:p>
    <w:p w14:paraId="7A7C504D" w14:textId="77777777" w:rsidR="00856B93" w:rsidRPr="001D5AE2" w:rsidRDefault="00856B93" w:rsidP="00856B93">
      <w:pPr>
        <w:spacing w:line="360" w:lineRule="auto"/>
        <w:jc w:val="both"/>
        <w:rPr>
          <w:rFonts w:ascii="Leelawadee" w:hAnsi="Leelawadee" w:cs="Leelawadee"/>
        </w:rPr>
      </w:pPr>
    </w:p>
    <w:p w14:paraId="0E218DAA" w14:textId="77777777" w:rsidR="00856B93" w:rsidRPr="001D5AE2" w:rsidRDefault="00856B93" w:rsidP="00856B93">
      <w:pPr>
        <w:spacing w:line="360" w:lineRule="auto"/>
        <w:jc w:val="both"/>
        <w:rPr>
          <w:rFonts w:ascii="Leelawadee" w:hAnsi="Leelawadee" w:cs="Leelawadee"/>
        </w:rPr>
      </w:pPr>
    </w:p>
    <w:p w14:paraId="358EC7D0" w14:textId="77777777" w:rsidR="00856B93" w:rsidRPr="001D5AE2" w:rsidRDefault="00856B93" w:rsidP="00856B93">
      <w:pPr>
        <w:pStyle w:val="Heading1"/>
        <w:spacing w:before="0" w:line="360" w:lineRule="auto"/>
        <w:rPr>
          <w:rFonts w:ascii="Tahoma" w:hAnsi="Tahoma" w:cs="Tahoma"/>
          <w:b/>
          <w:bCs/>
          <w:color w:val="0070C0"/>
          <w:sz w:val="24"/>
          <w:szCs w:val="24"/>
        </w:rPr>
      </w:pPr>
      <w:bookmarkStart w:id="0" w:name="_Toc184224157"/>
      <w:r w:rsidRPr="001D5AE2">
        <w:rPr>
          <w:rFonts w:ascii="Tahoma" w:hAnsi="Tahoma" w:cs="Tahoma"/>
          <w:b/>
          <w:bCs/>
          <w:color w:val="0070C0"/>
          <w:sz w:val="24"/>
          <w:szCs w:val="24"/>
        </w:rPr>
        <w:lastRenderedPageBreak/>
        <w:t>Chapter 1:</w:t>
      </w:r>
      <w:r w:rsidRPr="001D5AE2">
        <w:rPr>
          <w:rFonts w:ascii="Tahoma" w:hAnsi="Tahoma" w:cs="Tahoma"/>
          <w:b/>
          <w:bCs/>
          <w:color w:val="0070C0"/>
          <w:sz w:val="24"/>
          <w:szCs w:val="24"/>
        </w:rPr>
        <w:tab/>
        <w:t>Introduction</w:t>
      </w:r>
      <w:bookmarkEnd w:id="0"/>
    </w:p>
    <w:p w14:paraId="41943461" w14:textId="475B2D4E" w:rsidR="00856B93" w:rsidRPr="001D5AE2" w:rsidRDefault="00865C76" w:rsidP="00856B93">
      <w:pPr>
        <w:spacing w:line="360" w:lineRule="auto"/>
        <w:jc w:val="both"/>
        <w:rPr>
          <w:rFonts w:ascii="Tahoma" w:hAnsi="Tahoma" w:cs="Tahoma"/>
          <w:bCs/>
          <w:sz w:val="24"/>
          <w:szCs w:val="24"/>
        </w:rPr>
      </w:pPr>
      <w:r w:rsidRPr="001D5AE2">
        <w:rPr>
          <w:rFonts w:ascii="Tahoma" w:hAnsi="Tahoma" w:cs="Tahoma"/>
          <w:bCs/>
          <w:sz w:val="24"/>
          <w:szCs w:val="24"/>
        </w:rPr>
        <w:t>Kebbi</w:t>
      </w:r>
      <w:r w:rsidR="00856B93" w:rsidRPr="001D5AE2">
        <w:rPr>
          <w:rFonts w:ascii="Tahoma" w:hAnsi="Tahoma" w:cs="Tahoma"/>
          <w:bCs/>
          <w:sz w:val="24"/>
          <w:szCs w:val="24"/>
        </w:rPr>
        <w:t xml:space="preserve"> State Debt Sustainability Analysis (</w:t>
      </w:r>
      <w:r w:rsidRPr="001D5AE2">
        <w:rPr>
          <w:rFonts w:ascii="Tahoma" w:hAnsi="Tahoma" w:cs="Tahoma"/>
          <w:bCs/>
          <w:sz w:val="24"/>
          <w:szCs w:val="24"/>
        </w:rPr>
        <w:t>K</w:t>
      </w:r>
      <w:r w:rsidR="008964DC" w:rsidRPr="001D5AE2">
        <w:rPr>
          <w:rFonts w:ascii="Tahoma" w:hAnsi="Tahoma" w:cs="Tahoma"/>
          <w:bCs/>
          <w:sz w:val="24"/>
          <w:szCs w:val="24"/>
        </w:rPr>
        <w:t>S</w:t>
      </w:r>
      <w:r w:rsidR="00856B93" w:rsidRPr="001D5AE2">
        <w:rPr>
          <w:rFonts w:ascii="Tahoma" w:hAnsi="Tahoma" w:cs="Tahoma"/>
          <w:bCs/>
          <w:sz w:val="24"/>
          <w:szCs w:val="24"/>
        </w:rPr>
        <w:t xml:space="preserve"> - DSA) covers the period of 5-year historical from 20</w:t>
      </w:r>
      <w:r w:rsidR="000C703A" w:rsidRPr="001D5AE2">
        <w:rPr>
          <w:rFonts w:ascii="Tahoma" w:hAnsi="Tahoma" w:cs="Tahoma"/>
          <w:bCs/>
          <w:sz w:val="24"/>
          <w:szCs w:val="24"/>
        </w:rPr>
        <w:t>19</w:t>
      </w:r>
      <w:r w:rsidR="00856B93" w:rsidRPr="001D5AE2">
        <w:rPr>
          <w:rFonts w:ascii="Tahoma" w:hAnsi="Tahoma" w:cs="Tahoma"/>
          <w:bCs/>
          <w:sz w:val="24"/>
          <w:szCs w:val="24"/>
        </w:rPr>
        <w:t xml:space="preserve"> to 20</w:t>
      </w:r>
      <w:r w:rsidR="008964DC" w:rsidRPr="001D5AE2">
        <w:rPr>
          <w:rFonts w:ascii="Tahoma" w:hAnsi="Tahoma" w:cs="Tahoma"/>
          <w:bCs/>
          <w:sz w:val="24"/>
          <w:szCs w:val="24"/>
        </w:rPr>
        <w:t>2</w:t>
      </w:r>
      <w:r w:rsidR="000C703A" w:rsidRPr="001D5AE2">
        <w:rPr>
          <w:rFonts w:ascii="Tahoma" w:hAnsi="Tahoma" w:cs="Tahoma"/>
          <w:bCs/>
          <w:sz w:val="24"/>
          <w:szCs w:val="24"/>
        </w:rPr>
        <w:t>3</w:t>
      </w:r>
      <w:r w:rsidR="00856B93" w:rsidRPr="001D5AE2">
        <w:rPr>
          <w:rFonts w:ascii="Tahoma" w:hAnsi="Tahoma" w:cs="Tahoma"/>
          <w:bCs/>
          <w:sz w:val="24"/>
          <w:szCs w:val="24"/>
        </w:rPr>
        <w:t xml:space="preserve"> and 10-year projection 202</w:t>
      </w:r>
      <w:r w:rsidR="007A235A" w:rsidRPr="001D5AE2">
        <w:rPr>
          <w:rFonts w:ascii="Tahoma" w:hAnsi="Tahoma" w:cs="Tahoma"/>
          <w:bCs/>
          <w:sz w:val="24"/>
          <w:szCs w:val="24"/>
        </w:rPr>
        <w:t>4</w:t>
      </w:r>
      <w:r w:rsidR="00856B93" w:rsidRPr="001D5AE2">
        <w:rPr>
          <w:rFonts w:ascii="Tahoma" w:hAnsi="Tahoma" w:cs="Tahoma"/>
          <w:bCs/>
          <w:sz w:val="24"/>
          <w:szCs w:val="24"/>
        </w:rPr>
        <w:t>-20</w:t>
      </w:r>
      <w:r w:rsidR="008964DC" w:rsidRPr="001D5AE2">
        <w:rPr>
          <w:rFonts w:ascii="Tahoma" w:hAnsi="Tahoma" w:cs="Tahoma"/>
          <w:bCs/>
          <w:sz w:val="24"/>
          <w:szCs w:val="24"/>
        </w:rPr>
        <w:t>3</w:t>
      </w:r>
      <w:r w:rsidR="007A235A" w:rsidRPr="001D5AE2">
        <w:rPr>
          <w:rFonts w:ascii="Tahoma" w:hAnsi="Tahoma" w:cs="Tahoma"/>
          <w:bCs/>
          <w:sz w:val="24"/>
          <w:szCs w:val="24"/>
        </w:rPr>
        <w:t>3</w:t>
      </w:r>
      <w:r w:rsidR="00856B93" w:rsidRPr="001D5AE2">
        <w:rPr>
          <w:rFonts w:ascii="Tahoma" w:hAnsi="Tahoma" w:cs="Tahoma"/>
          <w:bCs/>
          <w:sz w:val="24"/>
          <w:szCs w:val="24"/>
        </w:rPr>
        <w:t>, under various</w:t>
      </w:r>
      <w:r w:rsidR="00851A3E" w:rsidRPr="001D5AE2">
        <w:rPr>
          <w:rFonts w:ascii="Tahoma" w:hAnsi="Tahoma" w:cs="Tahoma"/>
          <w:bCs/>
          <w:sz w:val="24"/>
          <w:szCs w:val="24"/>
        </w:rPr>
        <w:t xml:space="preserve"> macroeconomic assumptions and s</w:t>
      </w:r>
      <w:r w:rsidR="00856B93" w:rsidRPr="001D5AE2">
        <w:rPr>
          <w:rFonts w:ascii="Tahoma" w:hAnsi="Tahoma" w:cs="Tahoma"/>
          <w:bCs/>
          <w:sz w:val="24"/>
          <w:szCs w:val="24"/>
        </w:rPr>
        <w:t>hock scenarios. To ensure that State debt stock remains sustainable in the medium to long-term, the State’s macroeconomic framework</w:t>
      </w:r>
      <w:r w:rsidR="005D28FC" w:rsidRPr="001D5AE2">
        <w:rPr>
          <w:rFonts w:ascii="Tahoma" w:hAnsi="Tahoma" w:cs="Tahoma"/>
          <w:bCs/>
          <w:sz w:val="24"/>
          <w:szCs w:val="24"/>
        </w:rPr>
        <w:t xml:space="preserve"> is used </w:t>
      </w:r>
      <w:r w:rsidR="00856B93" w:rsidRPr="001D5AE2">
        <w:rPr>
          <w:rFonts w:ascii="Tahoma" w:hAnsi="Tahoma" w:cs="Tahoma"/>
          <w:bCs/>
          <w:sz w:val="24"/>
          <w:szCs w:val="24"/>
        </w:rPr>
        <w:t>to assess the current and future debt levels, as well as its ability to meet debt service obligations as and when due, and without compromising growth and development.</w:t>
      </w:r>
    </w:p>
    <w:p w14:paraId="6DAA4175" w14:textId="5EC6C16F" w:rsidR="00856B93" w:rsidRPr="001D5AE2" w:rsidRDefault="00856B93" w:rsidP="00856B93">
      <w:pPr>
        <w:spacing w:line="360" w:lineRule="auto"/>
        <w:jc w:val="both"/>
        <w:rPr>
          <w:rFonts w:ascii="Tahoma" w:hAnsi="Tahoma" w:cs="Tahoma"/>
          <w:sz w:val="24"/>
          <w:szCs w:val="24"/>
        </w:rPr>
      </w:pPr>
      <w:r w:rsidRPr="001D5AE2">
        <w:rPr>
          <w:rFonts w:ascii="Tahoma" w:hAnsi="Tahoma" w:cs="Tahoma"/>
          <w:sz w:val="24"/>
          <w:szCs w:val="24"/>
        </w:rPr>
        <w:t xml:space="preserve">The </w:t>
      </w:r>
      <w:r w:rsidR="00865C76" w:rsidRPr="001D5AE2">
        <w:rPr>
          <w:rFonts w:ascii="Tahoma" w:hAnsi="Tahoma" w:cs="Tahoma"/>
          <w:sz w:val="24"/>
          <w:szCs w:val="24"/>
        </w:rPr>
        <w:t>K</w:t>
      </w:r>
      <w:r w:rsidR="004C798F" w:rsidRPr="001D5AE2">
        <w:rPr>
          <w:rFonts w:ascii="Tahoma" w:hAnsi="Tahoma" w:cs="Tahoma"/>
          <w:sz w:val="24"/>
          <w:szCs w:val="24"/>
        </w:rPr>
        <w:t xml:space="preserve">ebbi </w:t>
      </w:r>
      <w:r w:rsidR="008964DC" w:rsidRPr="001D5AE2">
        <w:rPr>
          <w:rFonts w:ascii="Tahoma" w:hAnsi="Tahoma" w:cs="Tahoma"/>
          <w:sz w:val="24"/>
          <w:szCs w:val="24"/>
        </w:rPr>
        <w:t>S</w:t>
      </w:r>
      <w:r w:rsidR="004C798F" w:rsidRPr="001D5AE2">
        <w:rPr>
          <w:rFonts w:ascii="Tahoma" w:hAnsi="Tahoma" w:cs="Tahoma"/>
          <w:sz w:val="24"/>
          <w:szCs w:val="24"/>
        </w:rPr>
        <w:t>tate</w:t>
      </w:r>
      <w:r w:rsidRPr="001D5AE2">
        <w:rPr>
          <w:rFonts w:ascii="Tahoma" w:hAnsi="Tahoma" w:cs="Tahoma"/>
          <w:sz w:val="24"/>
          <w:szCs w:val="24"/>
        </w:rPr>
        <w:t xml:space="preserve"> DSA</w:t>
      </w:r>
      <w:r w:rsidR="00A95912" w:rsidRPr="001D5AE2">
        <w:rPr>
          <w:rFonts w:ascii="Tahoma" w:hAnsi="Tahoma" w:cs="Tahoma"/>
          <w:sz w:val="24"/>
          <w:szCs w:val="24"/>
        </w:rPr>
        <w:t>-DMS</w:t>
      </w:r>
      <w:r w:rsidRPr="001D5AE2">
        <w:rPr>
          <w:rFonts w:ascii="Tahoma" w:hAnsi="Tahoma" w:cs="Tahoma"/>
          <w:sz w:val="24"/>
          <w:szCs w:val="24"/>
        </w:rPr>
        <w:t xml:space="preserve"> forecast for primary balance that comprises the difference between revenue and expenditure, plus the existing debt service (interest payment and principal repayments). The revenue </w:t>
      </w:r>
      <w:r w:rsidR="006556DD" w:rsidRPr="001D5AE2">
        <w:rPr>
          <w:rFonts w:ascii="Tahoma" w:hAnsi="Tahoma" w:cs="Tahoma"/>
          <w:sz w:val="24"/>
          <w:szCs w:val="24"/>
        </w:rPr>
        <w:t>was</w:t>
      </w:r>
      <w:r w:rsidRPr="001D5AE2">
        <w:rPr>
          <w:rFonts w:ascii="Tahoma" w:hAnsi="Tahoma" w:cs="Tahoma"/>
          <w:sz w:val="24"/>
          <w:szCs w:val="24"/>
        </w:rPr>
        <w:t xml:space="preserve"> based on the harmonized revenue law of the state government, which provided for capital gains tax, and other property tax to expand the tax base to maximally increase the state internally generated revenue that </w:t>
      </w:r>
      <w:r w:rsidR="00433B1E" w:rsidRPr="001D5AE2">
        <w:rPr>
          <w:rFonts w:ascii="Tahoma" w:hAnsi="Tahoma" w:cs="Tahoma"/>
          <w:sz w:val="24"/>
          <w:szCs w:val="24"/>
        </w:rPr>
        <w:t>is</w:t>
      </w:r>
      <w:r w:rsidRPr="001D5AE2">
        <w:rPr>
          <w:rFonts w:ascii="Tahoma" w:hAnsi="Tahoma" w:cs="Tahoma"/>
          <w:sz w:val="24"/>
          <w:szCs w:val="24"/>
        </w:rPr>
        <w:t xml:space="preserve"> considered achievable. Also, the state forecasts increased recurrent and capital expenditures with expected growth in the National economy with cascading effects in the State’s economy leading to </w:t>
      </w:r>
      <w:r w:rsidR="00710C19" w:rsidRPr="001D5AE2">
        <w:rPr>
          <w:rFonts w:ascii="Tahoma" w:hAnsi="Tahoma" w:cs="Tahoma"/>
          <w:sz w:val="24"/>
          <w:szCs w:val="24"/>
        </w:rPr>
        <w:t>an increase</w:t>
      </w:r>
      <w:r w:rsidRPr="001D5AE2">
        <w:rPr>
          <w:rFonts w:ascii="Tahoma" w:hAnsi="Tahoma" w:cs="Tahoma"/>
          <w:sz w:val="24"/>
          <w:szCs w:val="24"/>
        </w:rPr>
        <w:t xml:space="preserve"> in overall economic activities in the private sector, as well as job creation in the public sector. </w:t>
      </w:r>
    </w:p>
    <w:p w14:paraId="728F5466" w14:textId="360429FF" w:rsidR="00AB1D5B" w:rsidRPr="001D5AE2" w:rsidRDefault="00AB1D5B" w:rsidP="00AB1D5B">
      <w:pPr>
        <w:spacing w:line="360" w:lineRule="auto"/>
        <w:jc w:val="both"/>
        <w:rPr>
          <w:rFonts w:ascii="Tahoma" w:hAnsi="Tahoma" w:cs="Tahoma"/>
          <w:sz w:val="24"/>
          <w:szCs w:val="24"/>
        </w:rPr>
      </w:pPr>
      <w:r w:rsidRPr="001D5AE2">
        <w:rPr>
          <w:rFonts w:ascii="Tahoma" w:hAnsi="Tahoma" w:cs="Tahoma"/>
          <w:sz w:val="24"/>
          <w:szCs w:val="24"/>
        </w:rPr>
        <w:t>Global growth is projected</w:t>
      </w:r>
      <w:r w:rsidR="00B407AC" w:rsidRPr="001D5AE2">
        <w:rPr>
          <w:rFonts w:ascii="Tahoma" w:hAnsi="Tahoma" w:cs="Tahoma"/>
          <w:sz w:val="24"/>
          <w:szCs w:val="24"/>
        </w:rPr>
        <w:t xml:space="preserve"> to stay</w:t>
      </w:r>
      <w:r w:rsidRPr="001D5AE2">
        <w:rPr>
          <w:rFonts w:ascii="Tahoma" w:hAnsi="Tahoma" w:cs="Tahoma"/>
          <w:sz w:val="24"/>
          <w:szCs w:val="24"/>
        </w:rPr>
        <w:t xml:space="preserve"> at 3.1 percent in 2024 and 3.2 percent in 2025, with the 2024 forecast 0.2 percentage point higher than that in the October 2023 World Economic Outlook (WEO) on account of greater-than-expected resilience in the United States and several large emerging market and developing economies, as well as fiscal support in China. The forecast for 2024–25 is, however, below the historical (2000–19) average of 3.8 percent, with elevated central bank policy rates to fight inflation, a withdrawal of fiscal support amid high debt weighing on economic activity, and low underlying productivity growth. Inflation is falling faster than expected in most regions, in the midst of unwinding supply-side issues and restrictive monetary policy. Global headline </w:t>
      </w:r>
      <w:r w:rsidRPr="001D5AE2">
        <w:rPr>
          <w:rFonts w:ascii="Tahoma" w:hAnsi="Tahoma" w:cs="Tahoma"/>
          <w:sz w:val="24"/>
          <w:szCs w:val="24"/>
        </w:rPr>
        <w:lastRenderedPageBreak/>
        <w:t>inflation is expected to fall to 5.8 percent in 2024 and to 4.4 percent in 2025, with the 2025 forecast revised down.</w:t>
      </w:r>
    </w:p>
    <w:p w14:paraId="137034CD" w14:textId="03260007" w:rsidR="00AB1D5B" w:rsidRPr="001D5AE2" w:rsidRDefault="00AB1D5B" w:rsidP="00AB1D5B">
      <w:pPr>
        <w:spacing w:line="360" w:lineRule="auto"/>
        <w:jc w:val="both"/>
        <w:rPr>
          <w:rFonts w:ascii="Tahoma" w:hAnsi="Tahoma" w:cs="Tahoma"/>
          <w:sz w:val="24"/>
          <w:szCs w:val="24"/>
        </w:rPr>
      </w:pPr>
      <w:r w:rsidRPr="001D5AE2">
        <w:rPr>
          <w:rFonts w:ascii="Tahoma" w:hAnsi="Tahoma" w:cs="Tahoma"/>
          <w:sz w:val="24"/>
          <w:szCs w:val="24"/>
        </w:rPr>
        <w:t xml:space="preserve">With disinflation and steady growth, the likelihood of a hard landing has receded, and risks to global growth are broadly balanced. On the upside, faster disinflation could lead to further easing of financial conditions. Looser fiscal policy than necessary </w:t>
      </w:r>
      <w:r w:rsidR="00B407AC" w:rsidRPr="001D5AE2">
        <w:rPr>
          <w:rFonts w:ascii="Tahoma" w:hAnsi="Tahoma" w:cs="Tahoma"/>
          <w:sz w:val="24"/>
          <w:szCs w:val="24"/>
        </w:rPr>
        <w:t>and then</w:t>
      </w:r>
      <w:r w:rsidRPr="001D5AE2">
        <w:rPr>
          <w:rFonts w:ascii="Tahoma" w:hAnsi="Tahoma" w:cs="Tahoma"/>
          <w:sz w:val="24"/>
          <w:szCs w:val="24"/>
        </w:rPr>
        <w:t xml:space="preserve"> assumed in the projections could imply temporarily higher growth, but at the risk of a more costly adjustment later on. Stronger structural reform momentum could bolster productivity with positive cross-border spillovers. On the downside, new commodity price spikes from geopolitical shocks––including continued attacks in the Red Sea––and supply disruptions or more persistent underlying inflation could prolong tight monetary conditions. Deepening property sector woes in China or, elsewhere, a disruptive turn to tax hikes and spending cuts could also cause growth disappointments.</w:t>
      </w:r>
    </w:p>
    <w:p w14:paraId="693792D2" w14:textId="553E41F1" w:rsidR="00AB1D5B" w:rsidRPr="001D5AE2" w:rsidRDefault="00AB1D5B" w:rsidP="00AB1D5B">
      <w:pPr>
        <w:spacing w:line="360" w:lineRule="auto"/>
        <w:jc w:val="both"/>
        <w:rPr>
          <w:rFonts w:ascii="Tahoma" w:hAnsi="Tahoma" w:cs="Tahoma"/>
          <w:sz w:val="24"/>
          <w:szCs w:val="24"/>
        </w:rPr>
      </w:pPr>
      <w:r w:rsidRPr="001D5AE2">
        <w:rPr>
          <w:rFonts w:ascii="Tahoma" w:hAnsi="Tahoma" w:cs="Tahoma"/>
          <w:sz w:val="24"/>
          <w:szCs w:val="24"/>
        </w:rPr>
        <w:t>Policymakers’ near-term challenge is to successfully manage the final descent of inflation to target, calibrating monetary policy in response to underlying inflation dynamics and—where wage and price pressures are clearly dissipating—adjusting to a less restrictive stance. At the same time, in many cases, with inflation declining and economies better able to absorb effects of fiscal tightening, a renewed focus on fiscal consolidation to rebuild budgetary capacity to deal with future shocks, raise revenue for new spending priorities, and curb the rise of public debt is needed. Targeted and carefully sequenced structural reforms would reinforce productivity growth and debt sustainability and accelerate convergence toward higher income levels. More efficient multilateral coordination is needed for, among other things, debt resolution, to avoid debt distress and create space for necessary investments, as well as to mitigate the effects of climate change.</w:t>
      </w:r>
    </w:p>
    <w:p w14:paraId="291ACC60" w14:textId="77777777" w:rsidR="00B66CE1" w:rsidRPr="001D5AE2" w:rsidRDefault="00B66CE1" w:rsidP="00B66CE1">
      <w:pPr>
        <w:spacing w:line="360" w:lineRule="auto"/>
        <w:jc w:val="both"/>
        <w:rPr>
          <w:rFonts w:ascii="Tahoma" w:hAnsi="Tahoma" w:cs="Tahoma"/>
          <w:sz w:val="24"/>
          <w:szCs w:val="24"/>
        </w:rPr>
      </w:pPr>
      <w:r w:rsidRPr="001D5AE2">
        <w:rPr>
          <w:rFonts w:ascii="Tahoma" w:hAnsi="Tahoma" w:cs="Tahoma"/>
          <w:sz w:val="24"/>
          <w:szCs w:val="24"/>
        </w:rPr>
        <w:t xml:space="preserve">economic growth in Nigeria slowed from 3.3% in 2022 to 2.9% in 2023 due to high inflation and sluggish growth in the global economy, which declined from </w:t>
      </w:r>
      <w:r w:rsidRPr="001D5AE2">
        <w:rPr>
          <w:rFonts w:ascii="Tahoma" w:hAnsi="Tahoma" w:cs="Tahoma"/>
          <w:sz w:val="24"/>
          <w:szCs w:val="24"/>
        </w:rPr>
        <w:lastRenderedPageBreak/>
        <w:t>3.5% in 2022 to 3.2% in 2023. Growth was driven by services and agriculture on the supply side and by consumption and investment on the demand side. Inflation rose from 18.8% in 2022 to 24.5% in 2023, due to rising fuel costs and a depreciating naira. Petrol prices increased 167%, from naira 254 per liter in May 2023 to naira 671 in December 2023.</w:t>
      </w:r>
    </w:p>
    <w:p w14:paraId="7C72FD7A" w14:textId="39FC4E89" w:rsidR="00B66CE1" w:rsidRPr="001D5AE2" w:rsidRDefault="00B66CE1" w:rsidP="00B66CE1">
      <w:pPr>
        <w:spacing w:line="360" w:lineRule="auto"/>
        <w:jc w:val="both"/>
        <w:rPr>
          <w:rFonts w:ascii="Tahoma" w:hAnsi="Tahoma" w:cs="Tahoma"/>
          <w:sz w:val="24"/>
          <w:szCs w:val="24"/>
        </w:rPr>
      </w:pPr>
      <w:r w:rsidRPr="001D5AE2">
        <w:rPr>
          <w:rFonts w:ascii="Tahoma" w:hAnsi="Tahoma" w:cs="Tahoma"/>
          <w:sz w:val="24"/>
          <w:szCs w:val="24"/>
        </w:rPr>
        <w:t>The exchange rate depreciated by 95.6% in 2023, resulting from the floating of the naira in June 2023. Monetary policy was tightened to control inflation, with the policy rate increased from 17.5% in January 2023 to 18.75% in December 2023. The fiscal deficit narrowed from 5.4% of GDP in 2022 to 5.1%, as general government revenues improved from 6.7% of GDP in 2022 to 7.6% in 2023, although remaining low. The deficit was financed mainly by domestic borrowing, including from the Central Bank’s Ways and Means. Public debt remained low at 40% of GDP in 2023, but the federal government debt service to revenue ratio was high, at 111%, due to weak revenues. The current account surplus improved from 0.2% of GDP in 2022 to 0.9% in 2023, driven by higher oil prices and exports. International reserves remained robust but dropped from 6.6 months of import cover in 2022 to 5 months in 2023, reflecting tight global financing conditions.</w:t>
      </w:r>
      <w:r w:rsidR="00D41A4F" w:rsidRPr="001D5AE2">
        <w:rPr>
          <w:rFonts w:ascii="Tahoma" w:hAnsi="Tahoma" w:cs="Tahoma"/>
          <w:sz w:val="24"/>
          <w:szCs w:val="24"/>
        </w:rPr>
        <w:t xml:space="preserve"> </w:t>
      </w:r>
      <w:r w:rsidRPr="001D5AE2">
        <w:rPr>
          <w:rFonts w:ascii="Tahoma" w:hAnsi="Tahoma" w:cs="Tahoma"/>
          <w:sz w:val="24"/>
          <w:szCs w:val="24"/>
        </w:rPr>
        <w:t>The poverty level remains high, with multidimensional poverty at 63% and income poverty at 40%. Income inequality is lower than in many middle-income countries, with a Gini coefficient of 0.35.</w:t>
      </w:r>
    </w:p>
    <w:p w14:paraId="769EAFF0" w14:textId="216D60FE" w:rsidR="00D41A4F" w:rsidRPr="001D5AE2" w:rsidRDefault="00D41A4F" w:rsidP="00D41A4F">
      <w:pPr>
        <w:spacing w:line="360" w:lineRule="auto"/>
        <w:jc w:val="both"/>
        <w:rPr>
          <w:rFonts w:ascii="Tahoma" w:hAnsi="Tahoma" w:cs="Tahoma"/>
          <w:sz w:val="24"/>
          <w:szCs w:val="24"/>
        </w:rPr>
      </w:pPr>
      <w:r w:rsidRPr="001D5AE2">
        <w:rPr>
          <w:rFonts w:ascii="Tahoma" w:hAnsi="Tahoma" w:cs="Tahoma"/>
          <w:sz w:val="24"/>
          <w:szCs w:val="24"/>
        </w:rPr>
        <w:t xml:space="preserve">Economic growth is projected to increase to 3.2% in 2024 and 3.4% in 2025, due to improved security, higher oil production, and stronger consumer demand. Inflation is expected to rise to 31.6% in 2024, driven by higher food prices and continued depreciation of the naira, before moderating to 20.7% in 2025 as inflationary pressures abate. The fiscal deficit, financed by domestic borrowing, is projected to narrow to 4.3% of GDP in 2024 and 4.1% in 2025 as both oil and nonoil revenues improve. The current account surplus is expected to improve to 3.0% of GDP in 2024 and 3.6% in 2025 due to higher oil exports. Headwinds include insecurity, lower oil production, rising fuel and food prices, and further </w:t>
      </w:r>
      <w:r w:rsidRPr="001D5AE2">
        <w:rPr>
          <w:rFonts w:ascii="Tahoma" w:hAnsi="Tahoma" w:cs="Tahoma"/>
          <w:sz w:val="24"/>
          <w:szCs w:val="24"/>
        </w:rPr>
        <w:lastRenderedPageBreak/>
        <w:t>exchange rate depreciation. Tailwinds include new oil production from the Dangote refinery, which is expected to lower energy prices as it starts supplying the local market.</w:t>
      </w:r>
    </w:p>
    <w:p w14:paraId="74A4FD03" w14:textId="116DA9D8" w:rsidR="00B66CE1" w:rsidRPr="001D5AE2" w:rsidRDefault="00D41A4F" w:rsidP="00D41A4F">
      <w:pPr>
        <w:spacing w:line="360" w:lineRule="auto"/>
        <w:jc w:val="both"/>
        <w:rPr>
          <w:rFonts w:ascii="Tahoma" w:hAnsi="Tahoma" w:cs="Tahoma"/>
          <w:sz w:val="24"/>
          <w:szCs w:val="24"/>
        </w:rPr>
      </w:pPr>
      <w:r w:rsidRPr="001D5AE2">
        <w:rPr>
          <w:rFonts w:ascii="Tahoma" w:hAnsi="Tahoma" w:cs="Tahoma"/>
          <w:sz w:val="24"/>
          <w:szCs w:val="24"/>
        </w:rPr>
        <w:t>Despite some evidence of structural transformation, reflected in agriculture employment’s falling share in total employment from 49.3% in 2000 to 35.2% in 2021, the pace of transformation is not sufficient to propel industrial take-off. Labor has relocated to the services sector, whose share of employment rose from 39.4% in 2000 to 52.1% in 2021. However, industry’s share of employment has increased only marginally over the past 20 years, from 11.3% to 12.7%, reflecting slow industrialization. Furthermore, wage employment is low, at 11.8%, reflecting low-quality jobs and characterized by high informality, at 92.6%.</w:t>
      </w:r>
    </w:p>
    <w:p w14:paraId="22AB1184" w14:textId="12714090" w:rsidR="00547418" w:rsidRPr="001D5AE2" w:rsidRDefault="00547418" w:rsidP="00547418">
      <w:pPr>
        <w:spacing w:line="360" w:lineRule="auto"/>
        <w:jc w:val="both"/>
        <w:rPr>
          <w:rFonts w:ascii="Tahoma" w:hAnsi="Tahoma" w:cs="Tahoma"/>
          <w:sz w:val="24"/>
          <w:szCs w:val="24"/>
        </w:rPr>
      </w:pPr>
      <w:r w:rsidRPr="001D5AE2">
        <w:rPr>
          <w:rFonts w:ascii="Tahoma" w:hAnsi="Tahoma" w:cs="Tahoma"/>
          <w:sz w:val="24"/>
          <w:szCs w:val="24"/>
        </w:rPr>
        <w:t>Kebbi State has enjoyed impressive GDP performance over the years, although not quite as high as the national average since Kebbi does not benefit directly from the mineral sector. The State is still a net importer of goods and services but is a net exporter of agricultural produce majorly rice, sorghum, millet and beans to other States. The movement of agricultural produce is not well-documented and computed to register meaningful contribution to the State economy. Despite the steady progress in economic growth and development, available data indicate that agriculture, especially crops and livestock, and fisheries as well as SMEs, which have the potential to generate large scale employment opportunities, are not currently doing so. However, these areas are undergoing transformation.</w:t>
      </w:r>
    </w:p>
    <w:p w14:paraId="6AD2CA5D" w14:textId="1770A098" w:rsidR="00EE77B2" w:rsidRPr="001D5AE2" w:rsidRDefault="00547418" w:rsidP="00547418">
      <w:pPr>
        <w:spacing w:line="360" w:lineRule="auto"/>
        <w:jc w:val="both"/>
        <w:rPr>
          <w:rFonts w:ascii="Tahoma" w:hAnsi="Tahoma" w:cs="Tahoma"/>
          <w:sz w:val="24"/>
          <w:szCs w:val="24"/>
        </w:rPr>
      </w:pPr>
      <w:r w:rsidRPr="001D5AE2">
        <w:rPr>
          <w:rFonts w:ascii="Tahoma" w:hAnsi="Tahoma" w:cs="Tahoma"/>
          <w:sz w:val="24"/>
          <w:szCs w:val="24"/>
        </w:rPr>
        <w:t xml:space="preserve">There is the predominance of subsistence and non-mechanized agriculture in the State. That is why the growth of the State's economy is predicated on increased transformation of the agricultural value chain (large scale agricultural production and agro-based industrial production). Although the trend of IGR in the State over the years has been varied, the present administration has demonstrated </w:t>
      </w:r>
      <w:r w:rsidRPr="001D5AE2">
        <w:rPr>
          <w:rFonts w:ascii="Tahoma" w:hAnsi="Tahoma" w:cs="Tahoma"/>
          <w:sz w:val="24"/>
          <w:szCs w:val="24"/>
        </w:rPr>
        <w:lastRenderedPageBreak/>
        <w:t xml:space="preserve">strong determination to change the prevailing situation of the State's IGR. With the establishment of Kebbi GIS (KBGIS), the state is in the process of computerization of all land records in urban </w:t>
      </w:r>
      <w:proofErr w:type="spellStart"/>
      <w:r w:rsidRPr="001D5AE2">
        <w:rPr>
          <w:rFonts w:ascii="Tahoma" w:hAnsi="Tahoma" w:cs="Tahoma"/>
          <w:sz w:val="24"/>
          <w:szCs w:val="24"/>
        </w:rPr>
        <w:t>centres</w:t>
      </w:r>
      <w:proofErr w:type="spellEnd"/>
      <w:r w:rsidRPr="001D5AE2">
        <w:rPr>
          <w:rFonts w:ascii="Tahoma" w:hAnsi="Tahoma" w:cs="Tahoma"/>
          <w:sz w:val="24"/>
          <w:szCs w:val="24"/>
        </w:rPr>
        <w:t xml:space="preserve">. This when completed is expected to generate more revenue to the state. The state is also on the drive to </w:t>
      </w:r>
      <w:r w:rsidR="00D47AC1" w:rsidRPr="001D5AE2">
        <w:rPr>
          <w:rFonts w:ascii="Tahoma" w:hAnsi="Tahoma" w:cs="Tahoma"/>
          <w:sz w:val="24"/>
          <w:szCs w:val="24"/>
        </w:rPr>
        <w:t>enroll</w:t>
      </w:r>
      <w:r w:rsidRPr="001D5AE2">
        <w:rPr>
          <w:rFonts w:ascii="Tahoma" w:hAnsi="Tahoma" w:cs="Tahoma"/>
          <w:sz w:val="24"/>
          <w:szCs w:val="24"/>
        </w:rPr>
        <w:t xml:space="preserve"> more individuals and businesses on the tax net.</w:t>
      </w:r>
    </w:p>
    <w:p w14:paraId="271907DF" w14:textId="7F81D2A0" w:rsidR="00A95912" w:rsidRPr="001D5AE2" w:rsidRDefault="004C798F" w:rsidP="00BA413E">
      <w:pPr>
        <w:spacing w:line="360" w:lineRule="auto"/>
        <w:jc w:val="both"/>
        <w:rPr>
          <w:rFonts w:ascii="Tahoma" w:hAnsi="Tahoma" w:cs="Tahoma"/>
        </w:rPr>
      </w:pPr>
      <w:r w:rsidRPr="001D5AE2">
        <w:rPr>
          <w:rFonts w:ascii="Tahoma" w:hAnsi="Tahoma" w:cs="Tahoma"/>
          <w:bCs/>
        </w:rPr>
        <w:t xml:space="preserve">In its effort to cushion the effect dwindling revenue, Kebbi State </w:t>
      </w:r>
      <w:r w:rsidR="00BA413E" w:rsidRPr="001D5AE2">
        <w:rPr>
          <w:rFonts w:ascii="Tahoma" w:hAnsi="Tahoma" w:cs="Tahoma"/>
          <w:bCs/>
        </w:rPr>
        <w:t xml:space="preserve">Government has put in place a harmonized revenue law to expand the tax net and boost Internally Generated Revenue. The increase in Internally Generated Revenue is expected to positively impact on the debt obligations </w:t>
      </w:r>
      <w:r w:rsidR="005D28FC" w:rsidRPr="001D5AE2">
        <w:rPr>
          <w:rFonts w:ascii="Tahoma" w:hAnsi="Tahoma" w:cs="Tahoma"/>
          <w:bCs/>
        </w:rPr>
        <w:t xml:space="preserve">and </w:t>
      </w:r>
      <w:r w:rsidR="00BA413E" w:rsidRPr="001D5AE2">
        <w:rPr>
          <w:rFonts w:ascii="Tahoma" w:hAnsi="Tahoma" w:cs="Tahoma"/>
          <w:bCs/>
        </w:rPr>
        <w:t xml:space="preserve">economic development of the State. The State plans to augment the State budget through </w:t>
      </w:r>
      <w:r w:rsidRPr="001D5AE2">
        <w:rPr>
          <w:rFonts w:ascii="Tahoma" w:hAnsi="Tahoma" w:cs="Tahoma"/>
          <w:bCs/>
        </w:rPr>
        <w:t xml:space="preserve">borrowings from domestic </w:t>
      </w:r>
      <w:r w:rsidR="00BA413E" w:rsidRPr="001D5AE2">
        <w:rPr>
          <w:rFonts w:ascii="Tahoma" w:hAnsi="Tahoma" w:cs="Tahoma"/>
          <w:bCs/>
        </w:rPr>
        <w:t xml:space="preserve">and external loans. </w:t>
      </w:r>
      <w:r w:rsidR="00A95912" w:rsidRPr="001D5AE2">
        <w:rPr>
          <w:rFonts w:ascii="Tahoma" w:hAnsi="Tahoma" w:cs="Tahoma"/>
        </w:rPr>
        <w:t>Con</w:t>
      </w:r>
      <w:r w:rsidRPr="001D5AE2">
        <w:rPr>
          <w:rFonts w:ascii="Tahoma" w:hAnsi="Tahoma" w:cs="Tahoma"/>
        </w:rPr>
        <w:t>sequently, the MTDS had to be adjusted</w:t>
      </w:r>
      <w:r w:rsidR="00A95912" w:rsidRPr="001D5AE2">
        <w:rPr>
          <w:rFonts w:ascii="Tahoma" w:hAnsi="Tahoma" w:cs="Tahoma"/>
        </w:rPr>
        <w:t xml:space="preserve"> to ensure the financing gap of government is met.</w:t>
      </w:r>
    </w:p>
    <w:p w14:paraId="327A303F" w14:textId="1390A4CB" w:rsidR="00E36FA4" w:rsidRPr="001D5AE2" w:rsidRDefault="00E36FA4" w:rsidP="00BA413E">
      <w:pPr>
        <w:spacing w:line="360" w:lineRule="auto"/>
        <w:jc w:val="both"/>
        <w:rPr>
          <w:rFonts w:ascii="Tahoma" w:hAnsi="Tahoma" w:cs="Tahoma"/>
        </w:rPr>
      </w:pPr>
    </w:p>
    <w:p w14:paraId="78BEE882" w14:textId="77777777" w:rsidR="007564E1" w:rsidRPr="001D5AE2" w:rsidRDefault="007564E1" w:rsidP="00BA413E">
      <w:pPr>
        <w:spacing w:line="360" w:lineRule="auto"/>
        <w:jc w:val="both"/>
        <w:rPr>
          <w:rFonts w:ascii="Tahoma" w:hAnsi="Tahoma" w:cs="Tahoma"/>
        </w:rPr>
      </w:pPr>
    </w:p>
    <w:p w14:paraId="1BEB6C3B" w14:textId="77777777" w:rsidR="007564E1" w:rsidRPr="001D5AE2" w:rsidRDefault="007564E1" w:rsidP="00BA413E">
      <w:pPr>
        <w:spacing w:line="360" w:lineRule="auto"/>
        <w:jc w:val="both"/>
        <w:rPr>
          <w:rFonts w:ascii="Tahoma" w:hAnsi="Tahoma" w:cs="Tahoma"/>
        </w:rPr>
      </w:pPr>
    </w:p>
    <w:p w14:paraId="73BC42AF" w14:textId="77777777" w:rsidR="007564E1" w:rsidRPr="001D5AE2" w:rsidRDefault="007564E1" w:rsidP="00BA413E">
      <w:pPr>
        <w:spacing w:line="360" w:lineRule="auto"/>
        <w:jc w:val="both"/>
        <w:rPr>
          <w:rFonts w:ascii="Tahoma" w:hAnsi="Tahoma" w:cs="Tahoma"/>
        </w:rPr>
      </w:pPr>
    </w:p>
    <w:p w14:paraId="6267A21D" w14:textId="77777777" w:rsidR="007564E1" w:rsidRPr="001D5AE2" w:rsidRDefault="007564E1" w:rsidP="00BA413E">
      <w:pPr>
        <w:spacing w:line="360" w:lineRule="auto"/>
        <w:jc w:val="both"/>
        <w:rPr>
          <w:rFonts w:ascii="Tahoma" w:hAnsi="Tahoma" w:cs="Tahoma"/>
        </w:rPr>
      </w:pPr>
    </w:p>
    <w:p w14:paraId="22FDA232" w14:textId="77777777" w:rsidR="007564E1" w:rsidRPr="001D5AE2" w:rsidRDefault="007564E1" w:rsidP="00BA413E">
      <w:pPr>
        <w:spacing w:line="360" w:lineRule="auto"/>
        <w:jc w:val="both"/>
        <w:rPr>
          <w:rFonts w:ascii="Tahoma" w:hAnsi="Tahoma" w:cs="Tahoma"/>
        </w:rPr>
      </w:pPr>
    </w:p>
    <w:p w14:paraId="08DE3FFC" w14:textId="77777777" w:rsidR="007564E1" w:rsidRPr="001D5AE2" w:rsidRDefault="007564E1" w:rsidP="00BA413E">
      <w:pPr>
        <w:spacing w:line="360" w:lineRule="auto"/>
        <w:jc w:val="both"/>
        <w:rPr>
          <w:rFonts w:ascii="Tahoma" w:hAnsi="Tahoma" w:cs="Tahoma"/>
        </w:rPr>
      </w:pPr>
    </w:p>
    <w:p w14:paraId="089ECC5E" w14:textId="77777777" w:rsidR="007564E1" w:rsidRPr="001D5AE2" w:rsidRDefault="007564E1" w:rsidP="00BA413E">
      <w:pPr>
        <w:spacing w:line="360" w:lineRule="auto"/>
        <w:jc w:val="both"/>
        <w:rPr>
          <w:rFonts w:ascii="Tahoma" w:hAnsi="Tahoma" w:cs="Tahoma"/>
        </w:rPr>
      </w:pPr>
    </w:p>
    <w:p w14:paraId="25DA1BF3" w14:textId="77777777" w:rsidR="007564E1" w:rsidRPr="001D5AE2" w:rsidRDefault="007564E1" w:rsidP="00BA413E">
      <w:pPr>
        <w:spacing w:line="360" w:lineRule="auto"/>
        <w:jc w:val="both"/>
        <w:rPr>
          <w:rFonts w:ascii="Tahoma" w:hAnsi="Tahoma" w:cs="Tahoma"/>
        </w:rPr>
      </w:pPr>
    </w:p>
    <w:p w14:paraId="2D884B3B" w14:textId="77777777" w:rsidR="007564E1" w:rsidRPr="001D5AE2" w:rsidRDefault="007564E1" w:rsidP="00BA413E">
      <w:pPr>
        <w:spacing w:line="360" w:lineRule="auto"/>
        <w:jc w:val="both"/>
        <w:rPr>
          <w:rFonts w:ascii="Tahoma" w:hAnsi="Tahoma" w:cs="Tahoma"/>
        </w:rPr>
      </w:pPr>
    </w:p>
    <w:p w14:paraId="7AB26C5D" w14:textId="77777777" w:rsidR="007564E1" w:rsidRPr="001D5AE2" w:rsidRDefault="007564E1" w:rsidP="00BA413E">
      <w:pPr>
        <w:spacing w:line="360" w:lineRule="auto"/>
        <w:jc w:val="both"/>
        <w:rPr>
          <w:rFonts w:ascii="Tahoma" w:hAnsi="Tahoma" w:cs="Tahoma"/>
        </w:rPr>
      </w:pPr>
    </w:p>
    <w:p w14:paraId="5C703942" w14:textId="77777777" w:rsidR="00766746" w:rsidRPr="001D5AE2" w:rsidRDefault="00766746" w:rsidP="00BA413E">
      <w:pPr>
        <w:spacing w:line="360" w:lineRule="auto"/>
        <w:jc w:val="both"/>
        <w:rPr>
          <w:rFonts w:ascii="Tahoma" w:hAnsi="Tahoma" w:cs="Tahoma"/>
        </w:rPr>
      </w:pPr>
    </w:p>
    <w:p w14:paraId="498BB821" w14:textId="77777777" w:rsidR="00766746" w:rsidRPr="001D5AE2" w:rsidRDefault="00766746" w:rsidP="00BA413E">
      <w:pPr>
        <w:spacing w:line="360" w:lineRule="auto"/>
        <w:jc w:val="both"/>
        <w:rPr>
          <w:rFonts w:ascii="Tahoma" w:hAnsi="Tahoma" w:cs="Tahoma"/>
        </w:rPr>
      </w:pPr>
    </w:p>
    <w:p w14:paraId="190CF8D1" w14:textId="77777777" w:rsidR="00856B93" w:rsidRPr="001D5AE2" w:rsidRDefault="00856B93" w:rsidP="00856B93">
      <w:pPr>
        <w:pStyle w:val="Heading1"/>
        <w:spacing w:before="0" w:line="360" w:lineRule="auto"/>
        <w:rPr>
          <w:rFonts w:ascii="Tahoma" w:hAnsi="Tahoma" w:cs="Tahoma"/>
          <w:b/>
          <w:bCs/>
          <w:color w:val="0070C0"/>
          <w:sz w:val="24"/>
          <w:szCs w:val="24"/>
        </w:rPr>
      </w:pPr>
      <w:bookmarkStart w:id="1" w:name="_Toc184224158"/>
      <w:r w:rsidRPr="001D5AE2">
        <w:rPr>
          <w:rFonts w:ascii="Tahoma" w:hAnsi="Tahoma" w:cs="Tahoma"/>
          <w:b/>
          <w:bCs/>
          <w:color w:val="0070C0"/>
          <w:sz w:val="24"/>
          <w:szCs w:val="24"/>
        </w:rPr>
        <w:lastRenderedPageBreak/>
        <w:t>Chapter 2:</w:t>
      </w:r>
      <w:r w:rsidRPr="001D5AE2">
        <w:rPr>
          <w:rFonts w:ascii="Tahoma" w:hAnsi="Tahoma" w:cs="Tahoma"/>
          <w:b/>
          <w:bCs/>
          <w:color w:val="0070C0"/>
          <w:sz w:val="24"/>
          <w:szCs w:val="24"/>
        </w:rPr>
        <w:tab/>
        <w:t>The State Fiscal and Debt Framework</w:t>
      </w:r>
      <w:bookmarkEnd w:id="1"/>
    </w:p>
    <w:p w14:paraId="02F46FE9" w14:textId="77777777" w:rsidR="00610166" w:rsidRPr="001D5AE2" w:rsidRDefault="00610166" w:rsidP="00610166">
      <w:pPr>
        <w:spacing w:line="360" w:lineRule="auto"/>
        <w:jc w:val="both"/>
        <w:rPr>
          <w:rFonts w:ascii="Leelawadee" w:hAnsi="Leelawadee" w:cs="Leelawadee"/>
          <w:bCs/>
        </w:rPr>
      </w:pPr>
      <w:r w:rsidRPr="001D5AE2">
        <w:rPr>
          <w:rFonts w:ascii="Leelawadee" w:hAnsi="Leelawadee" w:cs="Leelawadee"/>
          <w:bCs/>
        </w:rPr>
        <w:t xml:space="preserve">Kebbi State Government Budget prepared in line with the Federal Government’s outlook for each fiscal year, by using oil price benchmark per barrel to project the Statutory allocation, considered inflation rate and exchange rate during projections. The economy is the primary and critical component of </w:t>
      </w:r>
      <w:proofErr w:type="gramStart"/>
      <w:r w:rsidRPr="001D5AE2">
        <w:rPr>
          <w:rFonts w:ascii="Leelawadee" w:hAnsi="Leelawadee" w:cs="Leelawadee"/>
          <w:bCs/>
        </w:rPr>
        <w:t>life,</w:t>
      </w:r>
      <w:proofErr w:type="gramEnd"/>
      <w:r w:rsidRPr="001D5AE2">
        <w:rPr>
          <w:rFonts w:ascii="Leelawadee" w:hAnsi="Leelawadee" w:cs="Leelawadee"/>
          <w:bCs/>
        </w:rPr>
        <w:t xml:space="preserve"> the Kebbi State Government submitted an Economic Policies and Procurement Bills to the State House of Assembly with a view to transforming the State economy in urban and rural area, particularly health care, agriculture, education, agriculture, Small Medium Enterprises, solid minerals. This is expected to boost Internal Generated Revenue.</w:t>
      </w:r>
    </w:p>
    <w:p w14:paraId="7675EA4C" w14:textId="77777777" w:rsidR="00610166" w:rsidRPr="001D5AE2" w:rsidRDefault="00610166" w:rsidP="00610166">
      <w:pPr>
        <w:spacing w:line="360" w:lineRule="auto"/>
        <w:jc w:val="both"/>
        <w:rPr>
          <w:rFonts w:ascii="Leelawadee" w:hAnsi="Leelawadee" w:cs="Leelawadee"/>
          <w:bCs/>
        </w:rPr>
      </w:pPr>
      <w:r w:rsidRPr="001D5AE2">
        <w:rPr>
          <w:rFonts w:ascii="Leelawadee" w:hAnsi="Leelawadee" w:cs="Leelawadee"/>
          <w:bCs/>
        </w:rPr>
        <w:t xml:space="preserve">Kebbi State Government Budget is driven by Agriculture, youth empowerment and provide an enabling environment for Small Medium Enterprises to grow and pave way for industrial development of the State’s government. The Government also rolled out a social intervention programme to provide support to the poor and the unemployed; reconstructed and equipped skills acquisition </w:t>
      </w:r>
      <w:proofErr w:type="spellStart"/>
      <w:r w:rsidRPr="001D5AE2">
        <w:rPr>
          <w:rFonts w:ascii="Leelawadee" w:hAnsi="Leelawadee" w:cs="Leelawadee"/>
          <w:bCs/>
        </w:rPr>
        <w:t>centres</w:t>
      </w:r>
      <w:proofErr w:type="spellEnd"/>
      <w:r w:rsidRPr="001D5AE2">
        <w:rPr>
          <w:rFonts w:ascii="Leelawadee" w:hAnsi="Leelawadee" w:cs="Leelawadee"/>
          <w:bCs/>
        </w:rPr>
        <w:t xml:space="preserve"> to provide training for women and youth towards self-reliance; and building the critical infrastructure needed to speed up the development of the State.</w:t>
      </w:r>
    </w:p>
    <w:p w14:paraId="420B153B" w14:textId="1D70D27D" w:rsidR="006C457E" w:rsidRPr="001D5AE2" w:rsidRDefault="00014846" w:rsidP="00610166">
      <w:pPr>
        <w:spacing w:line="360" w:lineRule="auto"/>
        <w:jc w:val="both"/>
        <w:rPr>
          <w:rFonts w:ascii="Leelawadee" w:hAnsi="Leelawadee" w:cs="Leelawadee"/>
          <w:bCs/>
        </w:rPr>
      </w:pPr>
      <w:r w:rsidRPr="001D5AE2">
        <w:rPr>
          <w:rFonts w:ascii="Leelawadee" w:hAnsi="Leelawadee" w:cs="Leelawadee"/>
          <w:bCs/>
        </w:rPr>
        <w:t>The recent resolution of the US debt ceiling standoff and, earlier this year, strong action by authorities to contain turbulence in US and Swiss banking reduced the immediate risks of financial sector turmoil. This moderated adverse risks to the outlook. However, the balance of risks to global growth remains tilted to the downside. Inflation could remain high and even rise if further shocks occur, including those from an intensification of the war in Ukraine and extreme weather-related events, triggering more restrictive monetary policy. Financial sector turbulence could resume as markets adjust to further policy tightening by central banks. China’s recovery could slow, in part as a result of unresolved real estate problems, with negative cross-border spillovers. Sovereign debt distress could spread to a wider group of economies. On the upside, inflation could fall faster than expected, reducing the need for tight monetary policy, and domestic demand could again prove more resilient</w:t>
      </w:r>
      <w:r w:rsidR="006C457E" w:rsidRPr="001D5AE2">
        <w:rPr>
          <w:rFonts w:ascii="Leelawadee" w:hAnsi="Leelawadee" w:cs="Leelawadee"/>
          <w:bCs/>
        </w:rPr>
        <w:t>.</w:t>
      </w:r>
    </w:p>
    <w:p w14:paraId="398C342B" w14:textId="3B0175A5" w:rsidR="00610166" w:rsidRPr="001D5AE2" w:rsidRDefault="00610166" w:rsidP="00610166">
      <w:pPr>
        <w:spacing w:line="360" w:lineRule="auto"/>
        <w:jc w:val="both"/>
        <w:rPr>
          <w:rFonts w:ascii="Leelawadee" w:hAnsi="Leelawadee" w:cs="Leelawadee"/>
          <w:bCs/>
        </w:rPr>
      </w:pPr>
      <w:r w:rsidRPr="001D5AE2">
        <w:rPr>
          <w:rFonts w:ascii="Leelawadee" w:hAnsi="Leelawadee" w:cs="Leelawadee"/>
          <w:bCs/>
        </w:rPr>
        <w:lastRenderedPageBreak/>
        <w:t>The Government has put in place a harmonized revenue law to expand the tax net and boost Internally Generated Revenue. The increase in Internally Generated Revenue is expected to positively impact on the debt obligations as well as economic development of the State. The State plans to augment the State budget through borrowings from domestic loans and external loans.</w:t>
      </w:r>
    </w:p>
    <w:p w14:paraId="2AF1D249" w14:textId="3F913D40" w:rsidR="00856B93" w:rsidRPr="001D5AE2" w:rsidRDefault="00141CCE" w:rsidP="00141CCE">
      <w:pPr>
        <w:spacing w:after="0" w:line="360" w:lineRule="auto"/>
        <w:rPr>
          <w:rFonts w:ascii="Tahoma" w:hAnsi="Tahoma" w:cs="Tahoma"/>
          <w:b/>
          <w:bCs/>
        </w:rPr>
      </w:pPr>
      <w:r w:rsidRPr="001D5AE2">
        <w:rPr>
          <w:rFonts w:ascii="Tahoma" w:hAnsi="Tahoma" w:cs="Tahoma"/>
          <w:b/>
          <w:bCs/>
        </w:rPr>
        <w:t xml:space="preserve">2.1    </w:t>
      </w:r>
      <w:r w:rsidR="00856B93" w:rsidRPr="001D5AE2">
        <w:rPr>
          <w:rFonts w:ascii="Tahoma" w:hAnsi="Tahoma" w:cs="Tahoma"/>
          <w:b/>
          <w:bCs/>
        </w:rPr>
        <w:t>Medium-Term Budget Forecast</w:t>
      </w:r>
    </w:p>
    <w:p w14:paraId="0C60EFE1" w14:textId="78075336" w:rsidR="0059797F" w:rsidRPr="001D5AE2" w:rsidRDefault="0059797F" w:rsidP="0059797F">
      <w:pPr>
        <w:spacing w:line="360" w:lineRule="auto"/>
        <w:jc w:val="both"/>
        <w:rPr>
          <w:rFonts w:ascii="Leelawadee" w:hAnsi="Leelawadee" w:cs="Leelawadee"/>
        </w:rPr>
      </w:pPr>
      <w:r w:rsidRPr="001D5AE2">
        <w:rPr>
          <w:rFonts w:ascii="Leelawadee" w:hAnsi="Leelawadee" w:cs="Leelawadee"/>
        </w:rPr>
        <w:t xml:space="preserve">The Economic and Fiscal Update (EFU) provides economic and fiscal analyses which form the basis for budget planning process.  It is aimed primarily at policy makers and decision takers in Kebbi State Government.  The EFU also provides an assessment of budget performance (both historical and current) and identifies significant factors affecting implementation.  </w:t>
      </w:r>
    </w:p>
    <w:p w14:paraId="7DDF3239" w14:textId="06243E0F" w:rsidR="0059797F" w:rsidRPr="001D5AE2" w:rsidRDefault="0059797F" w:rsidP="0059797F">
      <w:pPr>
        <w:spacing w:line="360" w:lineRule="auto"/>
        <w:jc w:val="both"/>
        <w:rPr>
          <w:rFonts w:ascii="Leelawadee" w:hAnsi="Leelawadee" w:cs="Leelawadee"/>
        </w:rPr>
      </w:pPr>
      <w:r w:rsidRPr="001D5AE2">
        <w:rPr>
          <w:rFonts w:ascii="Leelawadee" w:hAnsi="Leelawadee" w:cs="Leelawadee"/>
        </w:rPr>
        <w:t xml:space="preserve">On the other hand, Fiscal Strategy Paper (FSP) and Budget Policy Statement (BPS) are key elements in Medium Term Expenditure Framework (MTEF) and annual budget process, and as such, they determine the resources available to fund Government projects and programmes from a fiscally sustainable perspective. </w:t>
      </w:r>
    </w:p>
    <w:p w14:paraId="112D1CC0" w14:textId="5C7485F0" w:rsidR="00C162C1" w:rsidRPr="001D5AE2" w:rsidRDefault="0059797F" w:rsidP="0059797F">
      <w:pPr>
        <w:spacing w:line="360" w:lineRule="auto"/>
        <w:jc w:val="both"/>
        <w:rPr>
          <w:rFonts w:ascii="Leelawadee" w:hAnsi="Leelawadee" w:cs="Leelawadee"/>
        </w:rPr>
      </w:pPr>
      <w:r w:rsidRPr="001D5AE2">
        <w:rPr>
          <w:rFonts w:ascii="Leelawadee" w:hAnsi="Leelawadee" w:cs="Leelawadee"/>
        </w:rPr>
        <w:t>Kebbi State Government decided to adopt the preparation of the EFU-FSP-BPS for the first time in 2021 as part of the movement toward a comprehensive MTEF process. This is the fourth rolling iteration of the document and covers the period 202</w:t>
      </w:r>
      <w:r w:rsidR="007A6E1C" w:rsidRPr="001D5AE2">
        <w:rPr>
          <w:rFonts w:ascii="Leelawadee" w:hAnsi="Leelawadee" w:cs="Leelawadee"/>
        </w:rPr>
        <w:t>4-</w:t>
      </w:r>
      <w:r w:rsidRPr="001D5AE2">
        <w:rPr>
          <w:rFonts w:ascii="Leelawadee" w:hAnsi="Leelawadee" w:cs="Leelawadee"/>
        </w:rPr>
        <w:t>202</w:t>
      </w:r>
      <w:r w:rsidR="007A6E1C" w:rsidRPr="001D5AE2">
        <w:rPr>
          <w:rFonts w:ascii="Leelawadee" w:hAnsi="Leelawadee" w:cs="Leelawadee"/>
        </w:rPr>
        <w:t>6</w:t>
      </w:r>
      <w:r w:rsidRPr="001D5AE2">
        <w:rPr>
          <w:rFonts w:ascii="Leelawadee" w:hAnsi="Leelawadee" w:cs="Leelawadee"/>
        </w:rPr>
        <w:t>.</w:t>
      </w:r>
    </w:p>
    <w:p w14:paraId="05EE086D" w14:textId="5EB52D7E" w:rsidR="008E6C0B" w:rsidRPr="001D5AE2" w:rsidRDefault="008E6C0B" w:rsidP="0059797F">
      <w:pPr>
        <w:spacing w:line="360" w:lineRule="auto"/>
        <w:jc w:val="both"/>
        <w:rPr>
          <w:rFonts w:ascii="Leelawadee" w:hAnsi="Leelawadee" w:cs="Leelawadee"/>
        </w:rPr>
      </w:pPr>
      <w:r w:rsidRPr="001D5AE2">
        <w:rPr>
          <w:rFonts w:ascii="Leelawadee" w:hAnsi="Leelawadee" w:cs="Leelawadee"/>
        </w:rPr>
        <w:t xml:space="preserve">The implication for </w:t>
      </w:r>
      <w:r w:rsidR="00814D70" w:rsidRPr="001D5AE2">
        <w:rPr>
          <w:rFonts w:ascii="Leelawadee" w:hAnsi="Leelawadee" w:cs="Leelawadee"/>
        </w:rPr>
        <w:t>the 2024</w:t>
      </w:r>
      <w:r w:rsidRPr="001D5AE2">
        <w:rPr>
          <w:rFonts w:ascii="Leelawadee" w:hAnsi="Leelawadee" w:cs="Leelawadee"/>
        </w:rPr>
        <w:t xml:space="preserve">-2026 forecast is that if more capital receipts are not obtained and the IGR increases, </w:t>
      </w:r>
      <w:r w:rsidR="00A105AF" w:rsidRPr="001D5AE2">
        <w:rPr>
          <w:rFonts w:ascii="Leelawadee" w:hAnsi="Leelawadee" w:cs="Leelawadee"/>
        </w:rPr>
        <w:t>the same</w:t>
      </w:r>
      <w:r w:rsidRPr="001D5AE2">
        <w:rPr>
          <w:rFonts w:ascii="Leelawadee" w:hAnsi="Leelawadee" w:cs="Leelawadee"/>
        </w:rPr>
        <w:t xml:space="preserve"> scenario may still be recorded since the State IGR cannot fund recurrent expenditure</w:t>
      </w:r>
      <w:r w:rsidR="00A105AF" w:rsidRPr="001D5AE2">
        <w:rPr>
          <w:rFonts w:ascii="Leelawadee" w:hAnsi="Leelawadee" w:cs="Leelawadee"/>
        </w:rPr>
        <w:t xml:space="preserve">, but </w:t>
      </w:r>
      <w:r w:rsidR="00814D70" w:rsidRPr="001D5AE2">
        <w:rPr>
          <w:rFonts w:ascii="Leelawadee" w:hAnsi="Leelawadee" w:cs="Leelawadee"/>
        </w:rPr>
        <w:t>the debt stock continue to remained sustainable over the period</w:t>
      </w:r>
      <w:r w:rsidRPr="001D5AE2">
        <w:rPr>
          <w:rFonts w:ascii="Leelawadee" w:hAnsi="Leelawadee" w:cs="Leelawadee"/>
        </w:rPr>
        <w:t>.</w:t>
      </w:r>
      <w:r w:rsidR="00814D70" w:rsidRPr="001D5AE2">
        <w:rPr>
          <w:rFonts w:ascii="Leelawadee" w:hAnsi="Leelawadee" w:cs="Leelawadee"/>
        </w:rPr>
        <w:t xml:space="preserve">  </w:t>
      </w:r>
    </w:p>
    <w:p w14:paraId="2C77B108" w14:textId="77777777" w:rsidR="0049105D" w:rsidRPr="001D5AE2" w:rsidRDefault="0049105D" w:rsidP="0049105D">
      <w:pPr>
        <w:spacing w:after="0" w:line="360" w:lineRule="auto"/>
        <w:jc w:val="both"/>
        <w:rPr>
          <w:rFonts w:ascii="Leelawadee" w:hAnsi="Leelawadee" w:cs="Leelawadee"/>
          <w:b/>
          <w:bCs/>
        </w:rPr>
      </w:pPr>
      <w:r w:rsidRPr="001D5AE2">
        <w:rPr>
          <w:rFonts w:ascii="Leelawadee" w:hAnsi="Leelawadee" w:cs="Leelawadee"/>
          <w:b/>
          <w:bCs/>
        </w:rPr>
        <w:t>Objectives</w:t>
      </w:r>
    </w:p>
    <w:p w14:paraId="06CF56C1" w14:textId="77777777" w:rsidR="0049105D" w:rsidRPr="001D5AE2" w:rsidRDefault="0049105D" w:rsidP="0049105D">
      <w:pPr>
        <w:spacing w:after="0" w:line="360" w:lineRule="auto"/>
        <w:jc w:val="both"/>
        <w:rPr>
          <w:rFonts w:ascii="Leelawadee" w:hAnsi="Leelawadee" w:cs="Leelawadee"/>
        </w:rPr>
      </w:pPr>
      <w:r w:rsidRPr="001D5AE2">
        <w:rPr>
          <w:rFonts w:ascii="Leelawadee" w:hAnsi="Leelawadee" w:cs="Leelawadee"/>
        </w:rPr>
        <w:t xml:space="preserve">The MTEF documents strengthen top-down budgeting in line with the requirements of fiscal responsibility legislation. The document assists State in achieving the following objectives: </w:t>
      </w:r>
    </w:p>
    <w:p w14:paraId="5B3FCB3B" w14:textId="77777777" w:rsidR="0049105D" w:rsidRPr="001D5AE2" w:rsidRDefault="0049105D" w:rsidP="0049105D">
      <w:pPr>
        <w:pStyle w:val="ListParagraph"/>
        <w:numPr>
          <w:ilvl w:val="0"/>
          <w:numId w:val="43"/>
        </w:numPr>
        <w:spacing w:after="0"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to ensure overall and proper linkage between policy, planning and budgeting.</w:t>
      </w:r>
    </w:p>
    <w:p w14:paraId="39647B36" w14:textId="77777777" w:rsidR="0049105D" w:rsidRPr="001D5AE2" w:rsidRDefault="0049105D" w:rsidP="0049105D">
      <w:pPr>
        <w:pStyle w:val="ListParagraph"/>
        <w:numPr>
          <w:ilvl w:val="0"/>
          <w:numId w:val="43"/>
        </w:numPr>
        <w:spacing w:after="0"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lastRenderedPageBreak/>
        <w:t>to improve fiscal policy formulation and implementation by instituting a medium-term budget framework as part of the regular economic management process.</w:t>
      </w:r>
    </w:p>
    <w:p w14:paraId="5ED7AC38" w14:textId="77777777" w:rsidR="0049105D" w:rsidRPr="001D5AE2" w:rsidRDefault="0049105D" w:rsidP="0049105D">
      <w:pPr>
        <w:pStyle w:val="ListParagraph"/>
        <w:numPr>
          <w:ilvl w:val="0"/>
          <w:numId w:val="43"/>
        </w:numPr>
        <w:spacing w:after="0" w:line="360" w:lineRule="auto"/>
        <w:jc w:val="both"/>
        <w:rPr>
          <w:rFonts w:ascii="Leelawadee" w:eastAsiaTheme="minorHAnsi" w:hAnsi="Leelawadee" w:cs="Leelawadee"/>
          <w:sz w:val="22"/>
          <w:szCs w:val="22"/>
        </w:rPr>
      </w:pPr>
      <w:proofErr w:type="gramStart"/>
      <w:r w:rsidRPr="001D5AE2">
        <w:rPr>
          <w:rFonts w:ascii="Leelawadee" w:eastAsiaTheme="minorHAnsi" w:hAnsi="Leelawadee" w:cs="Leelawadee"/>
          <w:sz w:val="22"/>
          <w:szCs w:val="22"/>
        </w:rPr>
        <w:t>to</w:t>
      </w:r>
      <w:proofErr w:type="gramEnd"/>
      <w:r w:rsidRPr="001D5AE2">
        <w:rPr>
          <w:rFonts w:ascii="Leelawadee" w:eastAsiaTheme="minorHAnsi" w:hAnsi="Leelawadee" w:cs="Leelawadee"/>
          <w:sz w:val="22"/>
          <w:szCs w:val="22"/>
        </w:rPr>
        <w:t xml:space="preserve"> improve budget allocations that reflects the State policy priorities and development needs of the State.</w:t>
      </w:r>
    </w:p>
    <w:p w14:paraId="12F6C5E0" w14:textId="77777777" w:rsidR="0049105D" w:rsidRPr="001D5AE2" w:rsidRDefault="0049105D" w:rsidP="0049105D">
      <w:pPr>
        <w:pStyle w:val="ListParagraph"/>
        <w:numPr>
          <w:ilvl w:val="0"/>
          <w:numId w:val="43"/>
        </w:numPr>
        <w:spacing w:after="0"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to provide robust medium term expenditure programmes of selected critical MDAs.</w:t>
      </w:r>
    </w:p>
    <w:p w14:paraId="2011DA93" w14:textId="77777777" w:rsidR="0049105D" w:rsidRPr="001D5AE2" w:rsidRDefault="0049105D" w:rsidP="0049105D">
      <w:pPr>
        <w:pStyle w:val="ListParagraph"/>
        <w:numPr>
          <w:ilvl w:val="0"/>
          <w:numId w:val="43"/>
        </w:numPr>
        <w:spacing w:after="0"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 xml:space="preserve">ensuring budget execution through more predictable cash releases, thereby guaranteeing more effective service delivery. </w:t>
      </w:r>
    </w:p>
    <w:p w14:paraId="67FAF5B8" w14:textId="77777777" w:rsidR="0049105D" w:rsidRPr="001D5AE2" w:rsidRDefault="0049105D" w:rsidP="0049105D">
      <w:pPr>
        <w:pStyle w:val="ListParagraph"/>
        <w:numPr>
          <w:ilvl w:val="0"/>
          <w:numId w:val="43"/>
        </w:numPr>
        <w:spacing w:after="0"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reducing deviation between budgeted and executed levels of expenditures.</w:t>
      </w:r>
    </w:p>
    <w:p w14:paraId="21B17627" w14:textId="77777777" w:rsidR="0049105D" w:rsidRPr="001D5AE2" w:rsidRDefault="0049105D" w:rsidP="0049105D">
      <w:pPr>
        <w:pStyle w:val="ListParagraph"/>
        <w:numPr>
          <w:ilvl w:val="0"/>
          <w:numId w:val="43"/>
        </w:numPr>
        <w:spacing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to improve cash management for Transparency and Accountability</w:t>
      </w:r>
    </w:p>
    <w:p w14:paraId="5D8EF424" w14:textId="3A498D7B" w:rsidR="002877B7" w:rsidRPr="001D5AE2" w:rsidRDefault="002877B7" w:rsidP="002877B7">
      <w:pPr>
        <w:spacing w:line="360" w:lineRule="auto"/>
        <w:jc w:val="both"/>
        <w:rPr>
          <w:rFonts w:ascii="Leelawadee" w:hAnsi="Leelawadee" w:cs="Leelawadee"/>
        </w:rPr>
      </w:pPr>
      <w:r w:rsidRPr="001D5AE2">
        <w:rPr>
          <w:rFonts w:ascii="Leelawadee" w:hAnsi="Leelawadee" w:cs="Leelawadee"/>
        </w:rPr>
        <w:t xml:space="preserve">In accordance with international best practice in budgeting, the production of a combined Economic and Fiscal Update (EFU), Fiscal Strategy Paper (FSP) and Budget Policy Statement (BPS) is the first step in the budget preparation cycle for Kebbi State Government (KBSG) for the period 2025-2027. </w:t>
      </w:r>
    </w:p>
    <w:p w14:paraId="5038DEF2" w14:textId="65B01DEB" w:rsidR="002877B7" w:rsidRPr="001D5AE2" w:rsidRDefault="002877B7" w:rsidP="002877B7">
      <w:pPr>
        <w:spacing w:after="0" w:line="360" w:lineRule="auto"/>
        <w:jc w:val="both"/>
        <w:rPr>
          <w:rFonts w:ascii="Leelawadee" w:hAnsi="Leelawadee" w:cs="Leelawadee"/>
        </w:rPr>
      </w:pPr>
      <w:r w:rsidRPr="001D5AE2">
        <w:rPr>
          <w:rFonts w:ascii="Leelawadee" w:hAnsi="Leelawadee" w:cs="Leelawadee"/>
        </w:rPr>
        <w:t>The purpose of this document is three-fold:</w:t>
      </w:r>
    </w:p>
    <w:p w14:paraId="36F18849" w14:textId="77777777" w:rsidR="00292C5C" w:rsidRPr="001D5AE2" w:rsidRDefault="002877B7" w:rsidP="002877B7">
      <w:pPr>
        <w:pStyle w:val="ListParagraph"/>
        <w:numPr>
          <w:ilvl w:val="0"/>
          <w:numId w:val="44"/>
        </w:numPr>
        <w:spacing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To provide a backwards looking summary of key economic and fiscal trends that will affect the public expenditure in the future - Economic and Fiscal Update</w:t>
      </w:r>
      <w:r w:rsidR="00292C5C" w:rsidRPr="001D5AE2">
        <w:rPr>
          <w:rFonts w:ascii="Leelawadee" w:eastAsiaTheme="minorHAnsi" w:hAnsi="Leelawadee" w:cs="Leelawadee"/>
          <w:sz w:val="22"/>
          <w:szCs w:val="22"/>
        </w:rPr>
        <w:t>.</w:t>
      </w:r>
    </w:p>
    <w:p w14:paraId="3E867EBB" w14:textId="77777777" w:rsidR="00DC6A13" w:rsidRPr="001D5AE2" w:rsidRDefault="002877B7" w:rsidP="002877B7">
      <w:pPr>
        <w:pStyle w:val="ListParagraph"/>
        <w:numPr>
          <w:ilvl w:val="0"/>
          <w:numId w:val="44"/>
        </w:numPr>
        <w:spacing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To set out medium term fiscal objectives and targets, including tax policy; revenue mobili</w:t>
      </w:r>
      <w:r w:rsidR="00292C5C" w:rsidRPr="001D5AE2">
        <w:rPr>
          <w:rFonts w:ascii="Leelawadee" w:eastAsiaTheme="minorHAnsi" w:hAnsi="Leelawadee" w:cs="Leelawadee"/>
          <w:sz w:val="22"/>
          <w:szCs w:val="22"/>
        </w:rPr>
        <w:t>z</w:t>
      </w:r>
      <w:r w:rsidRPr="001D5AE2">
        <w:rPr>
          <w:rFonts w:ascii="Leelawadee" w:eastAsiaTheme="minorHAnsi" w:hAnsi="Leelawadee" w:cs="Leelawadee"/>
          <w:sz w:val="22"/>
          <w:szCs w:val="22"/>
        </w:rPr>
        <w:t>ation; level of public expenditure; deficit financing and public debt - Fiscal Strategy Paper and MTFF</w:t>
      </w:r>
      <w:r w:rsidR="00DC6A13" w:rsidRPr="001D5AE2">
        <w:rPr>
          <w:rFonts w:ascii="Leelawadee" w:eastAsiaTheme="minorHAnsi" w:hAnsi="Leelawadee" w:cs="Leelawadee"/>
          <w:sz w:val="22"/>
          <w:szCs w:val="22"/>
        </w:rPr>
        <w:t>.</w:t>
      </w:r>
    </w:p>
    <w:p w14:paraId="3575A772" w14:textId="29305701" w:rsidR="002877B7" w:rsidRPr="001D5AE2" w:rsidRDefault="002877B7" w:rsidP="002877B7">
      <w:pPr>
        <w:pStyle w:val="ListParagraph"/>
        <w:numPr>
          <w:ilvl w:val="0"/>
          <w:numId w:val="44"/>
        </w:numPr>
        <w:spacing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Provide indicative sector envelopes for the period 2025-2027 which constitute the MTBF.</w:t>
      </w:r>
    </w:p>
    <w:p w14:paraId="7DA586FE" w14:textId="2EA3D691" w:rsidR="002877B7" w:rsidRPr="001D5AE2" w:rsidRDefault="002877B7" w:rsidP="001903C9">
      <w:pPr>
        <w:spacing w:after="0" w:line="360" w:lineRule="auto"/>
        <w:jc w:val="both"/>
        <w:rPr>
          <w:rFonts w:ascii="Leelawadee" w:hAnsi="Leelawadee" w:cs="Leelawadee"/>
        </w:rPr>
      </w:pPr>
      <w:r w:rsidRPr="001D5AE2">
        <w:rPr>
          <w:rFonts w:ascii="Leelawadee" w:hAnsi="Leelawadee" w:cs="Leelawadee"/>
        </w:rPr>
        <w:t>The EFU is presented in Section 2 of this document.  The EFU provides economic and fiscal analysis to inform the budget planning process.  It is aimed primarily at budget policy makers and decision takers in the Kebbi State Government.  The EFU also provides an assessment of budget performance (both historical and current) and identifies significant factors affecting implementation. It includes:</w:t>
      </w:r>
    </w:p>
    <w:p w14:paraId="42F0B18C" w14:textId="77777777" w:rsidR="00DC6A13" w:rsidRPr="001D5AE2" w:rsidRDefault="002877B7" w:rsidP="002877B7">
      <w:pPr>
        <w:pStyle w:val="ListParagraph"/>
        <w:numPr>
          <w:ilvl w:val="0"/>
          <w:numId w:val="45"/>
        </w:numPr>
        <w:spacing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Overview of Global, National and State Economic Performance</w:t>
      </w:r>
      <w:r w:rsidR="00DC6A13" w:rsidRPr="001D5AE2">
        <w:rPr>
          <w:rFonts w:ascii="Leelawadee" w:eastAsiaTheme="minorHAnsi" w:hAnsi="Leelawadee" w:cs="Leelawadee"/>
          <w:sz w:val="22"/>
          <w:szCs w:val="22"/>
        </w:rPr>
        <w:t>.</w:t>
      </w:r>
    </w:p>
    <w:p w14:paraId="2F78E2CB" w14:textId="77777777" w:rsidR="00DC6A13" w:rsidRPr="001D5AE2" w:rsidRDefault="002877B7" w:rsidP="002877B7">
      <w:pPr>
        <w:pStyle w:val="ListParagraph"/>
        <w:numPr>
          <w:ilvl w:val="0"/>
          <w:numId w:val="45"/>
        </w:numPr>
        <w:spacing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lastRenderedPageBreak/>
        <w:t>Overview of the Petroleum Sector and non-oil sectors</w:t>
      </w:r>
      <w:r w:rsidR="00DC6A13" w:rsidRPr="001D5AE2">
        <w:rPr>
          <w:rFonts w:ascii="Leelawadee" w:eastAsiaTheme="minorHAnsi" w:hAnsi="Leelawadee" w:cs="Leelawadee"/>
          <w:sz w:val="22"/>
          <w:szCs w:val="22"/>
        </w:rPr>
        <w:t>.</w:t>
      </w:r>
    </w:p>
    <w:p w14:paraId="0AE562A2" w14:textId="56239E33" w:rsidR="002877B7" w:rsidRPr="001D5AE2" w:rsidRDefault="002877B7" w:rsidP="002877B7">
      <w:pPr>
        <w:pStyle w:val="ListParagraph"/>
        <w:numPr>
          <w:ilvl w:val="0"/>
          <w:numId w:val="45"/>
        </w:numPr>
        <w:spacing w:line="360" w:lineRule="auto"/>
        <w:jc w:val="both"/>
        <w:rPr>
          <w:rFonts w:ascii="Leelawadee" w:eastAsiaTheme="minorHAnsi" w:hAnsi="Leelawadee" w:cs="Leelawadee"/>
          <w:sz w:val="22"/>
          <w:szCs w:val="22"/>
        </w:rPr>
      </w:pPr>
      <w:r w:rsidRPr="001D5AE2">
        <w:rPr>
          <w:rFonts w:ascii="Leelawadee" w:eastAsiaTheme="minorHAnsi" w:hAnsi="Leelawadee" w:cs="Leelawadee"/>
          <w:sz w:val="22"/>
          <w:szCs w:val="22"/>
        </w:rPr>
        <w:t>Trends in budget performance over the last six years.</w:t>
      </w:r>
    </w:p>
    <w:p w14:paraId="70C9D749" w14:textId="100996C2" w:rsidR="00E94D82" w:rsidRPr="001D5AE2" w:rsidRDefault="002877B7" w:rsidP="002877B7">
      <w:pPr>
        <w:spacing w:line="360" w:lineRule="auto"/>
        <w:jc w:val="both"/>
        <w:rPr>
          <w:rFonts w:ascii="Leelawadee" w:hAnsi="Leelawadee" w:cs="Leelawadee"/>
        </w:rPr>
      </w:pPr>
      <w:r w:rsidRPr="001D5AE2">
        <w:rPr>
          <w:rFonts w:ascii="Leelawadee" w:hAnsi="Leelawadee" w:cs="Leelawadee"/>
        </w:rPr>
        <w:t>The FSP is a key element in the KBSG Medium Term Expenditure Framework (MTEF) process and annual budget process.  As such, it determines the resources available to fund the Government’s growth and poverty reduction programme from a fiscally sustainable perspective.</w:t>
      </w:r>
    </w:p>
    <w:p w14:paraId="34DDFE6A" w14:textId="19F67105" w:rsidR="00610166" w:rsidRPr="001D5AE2" w:rsidRDefault="00610166" w:rsidP="00610166">
      <w:pPr>
        <w:spacing w:line="360" w:lineRule="auto"/>
        <w:jc w:val="both"/>
        <w:rPr>
          <w:rFonts w:ascii="Leelawadee" w:hAnsi="Leelawadee" w:cs="Leelawadee"/>
        </w:rPr>
      </w:pPr>
      <w:r w:rsidRPr="001D5AE2">
        <w:rPr>
          <w:rFonts w:ascii="Leelawadee" w:hAnsi="Leelawadee" w:cs="Leelawadee"/>
        </w:rPr>
        <w:t xml:space="preserve">Kebbi State Government’s Medium-Term Budget Forecast </w:t>
      </w:r>
      <w:r w:rsidR="005519F1" w:rsidRPr="001D5AE2">
        <w:rPr>
          <w:rFonts w:ascii="Leelawadee" w:hAnsi="Leelawadee" w:cs="Leelawadee"/>
        </w:rPr>
        <w:t>determines</w:t>
      </w:r>
      <w:r w:rsidRPr="001D5AE2">
        <w:rPr>
          <w:rFonts w:ascii="Leelawadee" w:hAnsi="Leelawadee" w:cs="Leelawadee"/>
        </w:rPr>
        <w:t xml:space="preserve"> the accessible resources and ensured the use of these resources for the medium term. Medium-Term Expenditure Framework is a five-year period projection as well as source document for the preparation of State Budget proposal to be tabled before the State House of Assemble. Medium-Term Budget Planning implies approval of State Budget law for one year, and determination of maximally allowable expenditure levels for the subsequent two years.</w:t>
      </w:r>
    </w:p>
    <w:p w14:paraId="437600D9" w14:textId="5934B6A3" w:rsidR="00610166" w:rsidRPr="001D5AE2" w:rsidRDefault="00610166" w:rsidP="00610166">
      <w:pPr>
        <w:spacing w:line="360" w:lineRule="auto"/>
        <w:jc w:val="both"/>
      </w:pPr>
      <w:r w:rsidRPr="001D5AE2">
        <w:rPr>
          <w:rFonts w:ascii="Leelawadee" w:hAnsi="Leelawadee" w:cs="Leelawadee"/>
        </w:rPr>
        <w:t>Kebbi State’s Medium-term covers macroeconomic analysis, government’s fiscal policy objectives for medium term, state budget revenue projections and state budget expenditure ceilings for each ministry and their agencies (MDAs) for medium term.</w:t>
      </w:r>
      <w:r w:rsidRPr="001D5AE2">
        <w:t xml:space="preserve"> </w:t>
      </w:r>
      <w:r w:rsidR="006D2099" w:rsidRPr="001D5AE2">
        <w:rPr>
          <w:rFonts w:ascii="Leelawadee" w:hAnsi="Leelawadee" w:cs="Leelawadee"/>
        </w:rPr>
        <w:t xml:space="preserve">The </w:t>
      </w:r>
      <w:r w:rsidRPr="001D5AE2">
        <w:rPr>
          <w:rFonts w:ascii="Leelawadee" w:hAnsi="Leelawadee" w:cs="Leelawadee"/>
        </w:rPr>
        <w:t>details of the macroeconomic assumptions are as shown in the table below.</w:t>
      </w:r>
    </w:p>
    <w:p w14:paraId="6CABFCE2" w14:textId="6B9C9111" w:rsidR="00741F96" w:rsidRPr="001D5AE2" w:rsidRDefault="00865C76" w:rsidP="00E21694">
      <w:pPr>
        <w:spacing w:after="0"/>
        <w:jc w:val="center"/>
        <w:rPr>
          <w:rFonts w:ascii="Tahoma" w:hAnsi="Tahoma" w:cs="Tahoma"/>
          <w:b/>
          <w:bCs/>
        </w:rPr>
      </w:pPr>
      <w:r w:rsidRPr="001D5AE2">
        <w:rPr>
          <w:rFonts w:ascii="Tahoma" w:hAnsi="Tahoma" w:cs="Tahoma"/>
          <w:b/>
          <w:bCs/>
        </w:rPr>
        <w:t>Kebbi</w:t>
      </w:r>
      <w:r w:rsidR="000300F9" w:rsidRPr="001D5AE2">
        <w:rPr>
          <w:rFonts w:ascii="Tahoma" w:hAnsi="Tahoma" w:cs="Tahoma"/>
          <w:b/>
          <w:bCs/>
        </w:rPr>
        <w:t xml:space="preserve"> State Medium Term Expenditure Framework </w:t>
      </w:r>
      <w:r w:rsidR="00856B93" w:rsidRPr="001D5AE2">
        <w:rPr>
          <w:rFonts w:ascii="Tahoma" w:hAnsi="Tahoma" w:cs="Tahoma"/>
          <w:b/>
          <w:bCs/>
        </w:rPr>
        <w:t>(MT</w:t>
      </w:r>
      <w:r w:rsidR="000300F9" w:rsidRPr="001D5AE2">
        <w:rPr>
          <w:rFonts w:ascii="Tahoma" w:hAnsi="Tahoma" w:cs="Tahoma"/>
          <w:b/>
          <w:bCs/>
        </w:rPr>
        <w:t>E</w:t>
      </w:r>
      <w:r w:rsidR="00856B93" w:rsidRPr="001D5AE2">
        <w:rPr>
          <w:rFonts w:ascii="Tahoma" w:hAnsi="Tahoma" w:cs="Tahoma"/>
          <w:b/>
          <w:bCs/>
        </w:rPr>
        <w:t>F)</w:t>
      </w:r>
      <w:r w:rsidR="000300F9" w:rsidRPr="001D5AE2">
        <w:rPr>
          <w:rFonts w:ascii="Tahoma" w:hAnsi="Tahoma" w:cs="Tahoma"/>
          <w:b/>
          <w:bCs/>
        </w:rPr>
        <w:t xml:space="preserve">, </w:t>
      </w:r>
      <w:r w:rsidR="00FC6085" w:rsidRPr="001D5AE2">
        <w:rPr>
          <w:rFonts w:ascii="Tahoma" w:hAnsi="Tahoma" w:cs="Tahoma"/>
          <w:b/>
          <w:bCs/>
        </w:rPr>
        <w:t>202</w:t>
      </w:r>
      <w:r w:rsidR="00771145" w:rsidRPr="001D5AE2">
        <w:rPr>
          <w:rFonts w:ascii="Tahoma" w:hAnsi="Tahoma" w:cs="Tahoma"/>
          <w:b/>
          <w:bCs/>
        </w:rPr>
        <w:t>4</w:t>
      </w:r>
      <w:r w:rsidR="00856B93" w:rsidRPr="001D5AE2">
        <w:rPr>
          <w:rFonts w:ascii="Tahoma" w:hAnsi="Tahoma" w:cs="Tahoma"/>
          <w:b/>
          <w:bCs/>
        </w:rPr>
        <w:t>-202</w:t>
      </w:r>
      <w:r w:rsidR="00771145" w:rsidRPr="001D5AE2">
        <w:rPr>
          <w:rFonts w:ascii="Tahoma" w:hAnsi="Tahoma" w:cs="Tahoma"/>
          <w:b/>
          <w:bCs/>
        </w:rPr>
        <w:t>6</w:t>
      </w:r>
      <w:r w:rsidR="00A51DD1" w:rsidRPr="001D5AE2">
        <w:rPr>
          <w:rFonts w:ascii="Tahoma" w:hAnsi="Tahoma" w:cs="Tahoma"/>
          <w:b/>
          <w:bCs/>
        </w:rPr>
        <w:t xml:space="preserve"> </w:t>
      </w:r>
    </w:p>
    <w:p w14:paraId="3E8A4A4D" w14:textId="59B816E7" w:rsidR="00173BD1" w:rsidRPr="001D5AE2" w:rsidRDefault="00741F96" w:rsidP="00E21694">
      <w:pPr>
        <w:spacing w:after="0"/>
        <w:jc w:val="center"/>
        <w:rPr>
          <w:rFonts w:ascii="Tahoma" w:hAnsi="Tahoma" w:cs="Tahoma"/>
          <w:b/>
          <w:bCs/>
        </w:rPr>
      </w:pPr>
      <w:r w:rsidRPr="001D5AE2">
        <w:rPr>
          <w:rFonts w:ascii="Tahoma" w:hAnsi="Tahoma" w:cs="Tahoma"/>
          <w:b/>
          <w:bCs/>
        </w:rPr>
        <w:t>(</w:t>
      </w:r>
      <w:r w:rsidR="000E61F0" w:rsidRPr="001D5AE2">
        <w:rPr>
          <w:rFonts w:ascii="Tahoma" w:hAnsi="Tahoma" w:cs="Tahoma"/>
          <w:b/>
          <w:bCs/>
        </w:rPr>
        <w:t>NGN’ Million</w:t>
      </w:r>
      <w:r w:rsidRPr="001D5AE2">
        <w:rPr>
          <w:rFonts w:ascii="Tahoma" w:hAnsi="Tahoma" w:cs="Tahoma"/>
          <w:b/>
          <w:bCs/>
        </w:rPr>
        <w:t>)</w:t>
      </w:r>
    </w:p>
    <w:tbl>
      <w:tblPr>
        <w:tblW w:w="8770" w:type="dxa"/>
        <w:tblLook w:val="04A0" w:firstRow="1" w:lastRow="0" w:firstColumn="1" w:lastColumn="0" w:noHBand="0" w:noVBand="1"/>
      </w:tblPr>
      <w:tblGrid>
        <w:gridCol w:w="4810"/>
        <w:gridCol w:w="1320"/>
        <w:gridCol w:w="1320"/>
        <w:gridCol w:w="1320"/>
      </w:tblGrid>
      <w:tr w:rsidR="00E775FB" w:rsidRPr="001D5AE2" w14:paraId="564E4065" w14:textId="77777777" w:rsidTr="00AE152E">
        <w:trPr>
          <w:trHeight w:val="315"/>
        </w:trPr>
        <w:tc>
          <w:tcPr>
            <w:tcW w:w="4810" w:type="dxa"/>
            <w:tcBorders>
              <w:top w:val="single" w:sz="8" w:space="0" w:color="000000"/>
              <w:left w:val="single" w:sz="8" w:space="0" w:color="000000"/>
              <w:bottom w:val="single" w:sz="8" w:space="0" w:color="000000"/>
              <w:right w:val="single" w:sz="8" w:space="0" w:color="000000"/>
            </w:tcBorders>
            <w:shd w:val="clear" w:color="000000" w:fill="FFF2CC"/>
            <w:noWrap/>
            <w:vAlign w:val="center"/>
            <w:hideMark/>
          </w:tcPr>
          <w:p w14:paraId="610E0755" w14:textId="77777777" w:rsidR="00E775FB" w:rsidRPr="001D5AE2" w:rsidRDefault="00E775FB" w:rsidP="00E775FB">
            <w:pPr>
              <w:spacing w:after="0" w:line="240" w:lineRule="auto"/>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Macroeconomic Assumptions</w:t>
            </w:r>
          </w:p>
        </w:tc>
        <w:tc>
          <w:tcPr>
            <w:tcW w:w="1320" w:type="dxa"/>
            <w:tcBorders>
              <w:top w:val="single" w:sz="8" w:space="0" w:color="000000"/>
              <w:left w:val="nil"/>
              <w:bottom w:val="single" w:sz="8" w:space="0" w:color="000000"/>
              <w:right w:val="single" w:sz="8" w:space="0" w:color="000000"/>
            </w:tcBorders>
            <w:shd w:val="clear" w:color="000000" w:fill="FFF2CC"/>
            <w:noWrap/>
            <w:vAlign w:val="center"/>
            <w:hideMark/>
          </w:tcPr>
          <w:p w14:paraId="723C43E2"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2024</w:t>
            </w:r>
          </w:p>
        </w:tc>
        <w:tc>
          <w:tcPr>
            <w:tcW w:w="1320" w:type="dxa"/>
            <w:tcBorders>
              <w:top w:val="single" w:sz="8" w:space="0" w:color="000000"/>
              <w:left w:val="nil"/>
              <w:bottom w:val="single" w:sz="8" w:space="0" w:color="000000"/>
              <w:right w:val="single" w:sz="8" w:space="0" w:color="000000"/>
            </w:tcBorders>
            <w:shd w:val="clear" w:color="000000" w:fill="FFF2CC"/>
            <w:noWrap/>
            <w:vAlign w:val="center"/>
            <w:hideMark/>
          </w:tcPr>
          <w:p w14:paraId="0D05268C"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2025</w:t>
            </w:r>
          </w:p>
        </w:tc>
        <w:tc>
          <w:tcPr>
            <w:tcW w:w="1320" w:type="dxa"/>
            <w:tcBorders>
              <w:top w:val="single" w:sz="8" w:space="0" w:color="000000"/>
              <w:left w:val="nil"/>
              <w:bottom w:val="single" w:sz="8" w:space="0" w:color="000000"/>
              <w:right w:val="single" w:sz="8" w:space="0" w:color="000000"/>
            </w:tcBorders>
            <w:shd w:val="clear" w:color="000000" w:fill="FFF2CC"/>
            <w:vAlign w:val="center"/>
            <w:hideMark/>
          </w:tcPr>
          <w:p w14:paraId="19A47CA3"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2026</w:t>
            </w:r>
          </w:p>
        </w:tc>
      </w:tr>
      <w:tr w:rsidR="00E775FB" w:rsidRPr="001D5AE2" w14:paraId="5EEA0D43"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130951F7"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National Inflation</w:t>
            </w:r>
          </w:p>
        </w:tc>
        <w:tc>
          <w:tcPr>
            <w:tcW w:w="1320" w:type="dxa"/>
            <w:tcBorders>
              <w:top w:val="nil"/>
              <w:left w:val="nil"/>
              <w:bottom w:val="single" w:sz="8" w:space="0" w:color="000000"/>
              <w:right w:val="single" w:sz="8" w:space="0" w:color="000000"/>
            </w:tcBorders>
            <w:shd w:val="clear" w:color="auto" w:fill="auto"/>
            <w:noWrap/>
            <w:vAlign w:val="center"/>
            <w:hideMark/>
          </w:tcPr>
          <w:p w14:paraId="679A1A17"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20.00%</w:t>
            </w:r>
          </w:p>
        </w:tc>
        <w:tc>
          <w:tcPr>
            <w:tcW w:w="1320" w:type="dxa"/>
            <w:tcBorders>
              <w:top w:val="nil"/>
              <w:left w:val="nil"/>
              <w:bottom w:val="single" w:sz="8" w:space="0" w:color="000000"/>
              <w:right w:val="single" w:sz="8" w:space="0" w:color="000000"/>
            </w:tcBorders>
            <w:shd w:val="clear" w:color="auto" w:fill="auto"/>
            <w:noWrap/>
            <w:vAlign w:val="center"/>
            <w:hideMark/>
          </w:tcPr>
          <w:p w14:paraId="1DE7C863"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15.50%</w:t>
            </w:r>
          </w:p>
        </w:tc>
        <w:tc>
          <w:tcPr>
            <w:tcW w:w="1320" w:type="dxa"/>
            <w:tcBorders>
              <w:top w:val="nil"/>
              <w:left w:val="nil"/>
              <w:bottom w:val="single" w:sz="8" w:space="0" w:color="000000"/>
              <w:right w:val="single" w:sz="8" w:space="0" w:color="000000"/>
            </w:tcBorders>
            <w:shd w:val="clear" w:color="auto" w:fill="auto"/>
            <w:vAlign w:val="center"/>
            <w:hideMark/>
          </w:tcPr>
          <w:p w14:paraId="5FFF443F"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15.20%</w:t>
            </w:r>
          </w:p>
        </w:tc>
      </w:tr>
      <w:tr w:rsidR="00E775FB" w:rsidRPr="001D5AE2" w14:paraId="4CF8130D"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540B9E27"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National Real GDP Growth</w:t>
            </w:r>
          </w:p>
        </w:tc>
        <w:tc>
          <w:tcPr>
            <w:tcW w:w="1320" w:type="dxa"/>
            <w:tcBorders>
              <w:top w:val="nil"/>
              <w:left w:val="nil"/>
              <w:bottom w:val="single" w:sz="8" w:space="0" w:color="000000"/>
              <w:right w:val="single" w:sz="8" w:space="0" w:color="000000"/>
            </w:tcBorders>
            <w:shd w:val="clear" w:color="auto" w:fill="auto"/>
            <w:noWrap/>
            <w:vAlign w:val="center"/>
            <w:hideMark/>
          </w:tcPr>
          <w:p w14:paraId="5CBF1DB3"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3.00%</w:t>
            </w:r>
          </w:p>
        </w:tc>
        <w:tc>
          <w:tcPr>
            <w:tcW w:w="1320" w:type="dxa"/>
            <w:tcBorders>
              <w:top w:val="nil"/>
              <w:left w:val="nil"/>
              <w:bottom w:val="single" w:sz="8" w:space="0" w:color="000000"/>
              <w:right w:val="single" w:sz="8" w:space="0" w:color="000000"/>
            </w:tcBorders>
            <w:shd w:val="clear" w:color="auto" w:fill="auto"/>
            <w:noWrap/>
            <w:vAlign w:val="center"/>
            <w:hideMark/>
          </w:tcPr>
          <w:p w14:paraId="2AE34C92"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3.00%</w:t>
            </w:r>
          </w:p>
        </w:tc>
        <w:tc>
          <w:tcPr>
            <w:tcW w:w="1320" w:type="dxa"/>
            <w:tcBorders>
              <w:top w:val="nil"/>
              <w:left w:val="nil"/>
              <w:bottom w:val="single" w:sz="8" w:space="0" w:color="000000"/>
              <w:right w:val="single" w:sz="8" w:space="0" w:color="000000"/>
            </w:tcBorders>
            <w:shd w:val="clear" w:color="auto" w:fill="auto"/>
            <w:vAlign w:val="center"/>
            <w:hideMark/>
          </w:tcPr>
          <w:p w14:paraId="6CFD5022"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3.00%</w:t>
            </w:r>
          </w:p>
        </w:tc>
      </w:tr>
      <w:tr w:rsidR="00E775FB" w:rsidRPr="001D5AE2" w14:paraId="50C0C651"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63FFA65F"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Budget Oil Production Volume (mbpd)</w:t>
            </w:r>
          </w:p>
        </w:tc>
        <w:tc>
          <w:tcPr>
            <w:tcW w:w="1320" w:type="dxa"/>
            <w:tcBorders>
              <w:top w:val="nil"/>
              <w:left w:val="nil"/>
              <w:bottom w:val="single" w:sz="8" w:space="0" w:color="000000"/>
              <w:right w:val="single" w:sz="8" w:space="0" w:color="000000"/>
            </w:tcBorders>
            <w:shd w:val="clear" w:color="auto" w:fill="auto"/>
            <w:noWrap/>
            <w:vAlign w:val="center"/>
            <w:hideMark/>
          </w:tcPr>
          <w:p w14:paraId="619E83BE"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1.6</w:t>
            </w:r>
          </w:p>
        </w:tc>
        <w:tc>
          <w:tcPr>
            <w:tcW w:w="1320" w:type="dxa"/>
            <w:tcBorders>
              <w:top w:val="nil"/>
              <w:left w:val="nil"/>
              <w:bottom w:val="single" w:sz="8" w:space="0" w:color="000000"/>
              <w:right w:val="single" w:sz="8" w:space="0" w:color="000000"/>
            </w:tcBorders>
            <w:shd w:val="clear" w:color="auto" w:fill="auto"/>
            <w:noWrap/>
            <w:vAlign w:val="center"/>
            <w:hideMark/>
          </w:tcPr>
          <w:p w14:paraId="19310C2F"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1.7</w:t>
            </w:r>
          </w:p>
        </w:tc>
        <w:tc>
          <w:tcPr>
            <w:tcW w:w="1320" w:type="dxa"/>
            <w:tcBorders>
              <w:top w:val="nil"/>
              <w:left w:val="nil"/>
              <w:bottom w:val="single" w:sz="8" w:space="0" w:color="000000"/>
              <w:right w:val="single" w:sz="8" w:space="0" w:color="000000"/>
            </w:tcBorders>
            <w:shd w:val="clear" w:color="auto" w:fill="auto"/>
            <w:vAlign w:val="center"/>
            <w:hideMark/>
          </w:tcPr>
          <w:p w14:paraId="09AD19BB"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1.8</w:t>
            </w:r>
          </w:p>
        </w:tc>
      </w:tr>
      <w:tr w:rsidR="00E775FB" w:rsidRPr="001D5AE2" w14:paraId="20A9EE51"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0E84F1C9"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Oil Price Benchmark (US$ per barrel)</w:t>
            </w:r>
          </w:p>
        </w:tc>
        <w:tc>
          <w:tcPr>
            <w:tcW w:w="1320" w:type="dxa"/>
            <w:tcBorders>
              <w:top w:val="nil"/>
              <w:left w:val="nil"/>
              <w:bottom w:val="single" w:sz="8" w:space="0" w:color="000000"/>
              <w:right w:val="single" w:sz="8" w:space="0" w:color="000000"/>
            </w:tcBorders>
            <w:shd w:val="clear" w:color="auto" w:fill="auto"/>
            <w:noWrap/>
            <w:vAlign w:val="center"/>
            <w:hideMark/>
          </w:tcPr>
          <w:p w14:paraId="1D3C7620"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65</w:t>
            </w:r>
          </w:p>
        </w:tc>
        <w:tc>
          <w:tcPr>
            <w:tcW w:w="1320" w:type="dxa"/>
            <w:tcBorders>
              <w:top w:val="nil"/>
              <w:left w:val="nil"/>
              <w:bottom w:val="single" w:sz="8" w:space="0" w:color="000000"/>
              <w:right w:val="single" w:sz="8" w:space="0" w:color="000000"/>
            </w:tcBorders>
            <w:shd w:val="clear" w:color="auto" w:fill="auto"/>
            <w:noWrap/>
            <w:vAlign w:val="center"/>
            <w:hideMark/>
          </w:tcPr>
          <w:p w14:paraId="338C75C1"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65</w:t>
            </w:r>
          </w:p>
        </w:tc>
        <w:tc>
          <w:tcPr>
            <w:tcW w:w="1320" w:type="dxa"/>
            <w:tcBorders>
              <w:top w:val="nil"/>
              <w:left w:val="nil"/>
              <w:bottom w:val="single" w:sz="8" w:space="0" w:color="000000"/>
              <w:right w:val="single" w:sz="8" w:space="0" w:color="000000"/>
            </w:tcBorders>
            <w:shd w:val="clear" w:color="auto" w:fill="auto"/>
            <w:vAlign w:val="center"/>
            <w:hideMark/>
          </w:tcPr>
          <w:p w14:paraId="2E8E3592"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65</w:t>
            </w:r>
          </w:p>
        </w:tc>
      </w:tr>
      <w:tr w:rsidR="00E775FB" w:rsidRPr="001D5AE2" w14:paraId="1354123E"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32286FD2"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Average Exchange Rate (N/US$)</w:t>
            </w:r>
          </w:p>
        </w:tc>
        <w:tc>
          <w:tcPr>
            <w:tcW w:w="1320" w:type="dxa"/>
            <w:tcBorders>
              <w:top w:val="nil"/>
              <w:left w:val="nil"/>
              <w:bottom w:val="single" w:sz="8" w:space="0" w:color="000000"/>
              <w:right w:val="single" w:sz="8" w:space="0" w:color="000000"/>
            </w:tcBorders>
            <w:shd w:val="clear" w:color="auto" w:fill="auto"/>
            <w:noWrap/>
            <w:vAlign w:val="center"/>
            <w:hideMark/>
          </w:tcPr>
          <w:p w14:paraId="54568F53"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1,300</w:t>
            </w:r>
          </w:p>
        </w:tc>
        <w:tc>
          <w:tcPr>
            <w:tcW w:w="1320" w:type="dxa"/>
            <w:tcBorders>
              <w:top w:val="nil"/>
              <w:left w:val="nil"/>
              <w:bottom w:val="single" w:sz="8" w:space="0" w:color="000000"/>
              <w:right w:val="single" w:sz="8" w:space="0" w:color="000000"/>
            </w:tcBorders>
            <w:shd w:val="clear" w:color="auto" w:fill="auto"/>
            <w:noWrap/>
            <w:vAlign w:val="center"/>
            <w:hideMark/>
          </w:tcPr>
          <w:p w14:paraId="17C53A4C"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1,200</w:t>
            </w:r>
          </w:p>
        </w:tc>
        <w:tc>
          <w:tcPr>
            <w:tcW w:w="1320" w:type="dxa"/>
            <w:tcBorders>
              <w:top w:val="nil"/>
              <w:left w:val="nil"/>
              <w:bottom w:val="single" w:sz="8" w:space="0" w:color="000000"/>
              <w:right w:val="single" w:sz="8" w:space="0" w:color="000000"/>
            </w:tcBorders>
            <w:shd w:val="clear" w:color="auto" w:fill="auto"/>
            <w:vAlign w:val="center"/>
            <w:hideMark/>
          </w:tcPr>
          <w:p w14:paraId="045A329B"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1,100</w:t>
            </w:r>
          </w:p>
        </w:tc>
      </w:tr>
      <w:tr w:rsidR="00E775FB" w:rsidRPr="001D5AE2" w14:paraId="49BC3F16"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1B4C9544"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640702C7"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7C028B85"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 </w:t>
            </w:r>
          </w:p>
        </w:tc>
        <w:tc>
          <w:tcPr>
            <w:tcW w:w="1320" w:type="dxa"/>
            <w:tcBorders>
              <w:top w:val="nil"/>
              <w:left w:val="nil"/>
              <w:bottom w:val="single" w:sz="8" w:space="0" w:color="000000"/>
              <w:right w:val="single" w:sz="8" w:space="0" w:color="000000"/>
            </w:tcBorders>
            <w:shd w:val="clear" w:color="auto" w:fill="auto"/>
            <w:vAlign w:val="center"/>
            <w:hideMark/>
          </w:tcPr>
          <w:p w14:paraId="08AF577E"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 </w:t>
            </w:r>
          </w:p>
        </w:tc>
      </w:tr>
      <w:tr w:rsidR="00E775FB" w:rsidRPr="001D5AE2" w14:paraId="5E9B5FBA"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55CCFF50" w14:textId="77777777" w:rsidR="00E775FB" w:rsidRPr="001D5AE2" w:rsidRDefault="00E775FB" w:rsidP="00E775FB">
            <w:pPr>
              <w:spacing w:after="0" w:line="240" w:lineRule="auto"/>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Revenue</w:t>
            </w:r>
          </w:p>
        </w:tc>
        <w:tc>
          <w:tcPr>
            <w:tcW w:w="1320" w:type="dxa"/>
            <w:tcBorders>
              <w:top w:val="nil"/>
              <w:left w:val="nil"/>
              <w:bottom w:val="single" w:sz="8" w:space="0" w:color="000000"/>
              <w:right w:val="single" w:sz="8" w:space="0" w:color="000000"/>
            </w:tcBorders>
            <w:shd w:val="clear" w:color="auto" w:fill="auto"/>
            <w:noWrap/>
            <w:vAlign w:val="center"/>
            <w:hideMark/>
          </w:tcPr>
          <w:p w14:paraId="346B957A"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lang w:val="en-GB"/>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1E523500"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lang w:val="en-GB"/>
              </w:rPr>
              <w:t> </w:t>
            </w:r>
          </w:p>
        </w:tc>
        <w:tc>
          <w:tcPr>
            <w:tcW w:w="1320" w:type="dxa"/>
            <w:tcBorders>
              <w:top w:val="nil"/>
              <w:left w:val="nil"/>
              <w:bottom w:val="single" w:sz="8" w:space="0" w:color="000000"/>
              <w:right w:val="single" w:sz="8" w:space="0" w:color="000000"/>
            </w:tcBorders>
            <w:shd w:val="clear" w:color="auto" w:fill="auto"/>
            <w:vAlign w:val="center"/>
            <w:hideMark/>
          </w:tcPr>
          <w:p w14:paraId="52C80602"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lang w:val="en-GB"/>
              </w:rPr>
              <w:t> </w:t>
            </w:r>
          </w:p>
        </w:tc>
      </w:tr>
      <w:tr w:rsidR="00E775FB" w:rsidRPr="001D5AE2" w14:paraId="7456AC4D"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09B45D15"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Gross Statutory Allocation</w:t>
            </w:r>
          </w:p>
        </w:tc>
        <w:tc>
          <w:tcPr>
            <w:tcW w:w="1320" w:type="dxa"/>
            <w:tcBorders>
              <w:top w:val="nil"/>
              <w:left w:val="nil"/>
              <w:bottom w:val="single" w:sz="8" w:space="0" w:color="000000"/>
              <w:right w:val="single" w:sz="8" w:space="0" w:color="000000"/>
            </w:tcBorders>
            <w:shd w:val="clear" w:color="auto" w:fill="auto"/>
            <w:noWrap/>
            <w:vAlign w:val="center"/>
            <w:hideMark/>
          </w:tcPr>
          <w:p w14:paraId="6763A16E"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79,254.27</w:t>
            </w:r>
          </w:p>
        </w:tc>
        <w:tc>
          <w:tcPr>
            <w:tcW w:w="1320" w:type="dxa"/>
            <w:tcBorders>
              <w:top w:val="nil"/>
              <w:left w:val="nil"/>
              <w:bottom w:val="single" w:sz="8" w:space="0" w:color="000000"/>
              <w:right w:val="single" w:sz="8" w:space="0" w:color="000000"/>
            </w:tcBorders>
            <w:shd w:val="clear" w:color="auto" w:fill="auto"/>
            <w:noWrap/>
            <w:vAlign w:val="center"/>
            <w:hideMark/>
          </w:tcPr>
          <w:p w14:paraId="7434D8A4"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92,131.59</w:t>
            </w:r>
          </w:p>
        </w:tc>
        <w:tc>
          <w:tcPr>
            <w:tcW w:w="1320" w:type="dxa"/>
            <w:tcBorders>
              <w:top w:val="nil"/>
              <w:left w:val="nil"/>
              <w:bottom w:val="single" w:sz="8" w:space="0" w:color="000000"/>
              <w:right w:val="single" w:sz="8" w:space="0" w:color="000000"/>
            </w:tcBorders>
            <w:shd w:val="clear" w:color="auto" w:fill="auto"/>
            <w:vAlign w:val="center"/>
            <w:hideMark/>
          </w:tcPr>
          <w:p w14:paraId="2A680A0F"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105,980.20</w:t>
            </w:r>
          </w:p>
        </w:tc>
      </w:tr>
      <w:tr w:rsidR="00E775FB" w:rsidRPr="001D5AE2" w14:paraId="50320BA1"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3C1CF16C"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Other FAAC transfers</w:t>
            </w:r>
          </w:p>
        </w:tc>
        <w:tc>
          <w:tcPr>
            <w:tcW w:w="1320" w:type="dxa"/>
            <w:tcBorders>
              <w:top w:val="nil"/>
              <w:left w:val="nil"/>
              <w:bottom w:val="single" w:sz="8" w:space="0" w:color="000000"/>
              <w:right w:val="single" w:sz="8" w:space="0" w:color="000000"/>
            </w:tcBorders>
            <w:shd w:val="clear" w:color="auto" w:fill="auto"/>
            <w:noWrap/>
            <w:vAlign w:val="center"/>
            <w:hideMark/>
          </w:tcPr>
          <w:p w14:paraId="3D6681FE"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24,104.99</w:t>
            </w:r>
          </w:p>
        </w:tc>
        <w:tc>
          <w:tcPr>
            <w:tcW w:w="1320" w:type="dxa"/>
            <w:tcBorders>
              <w:top w:val="nil"/>
              <w:left w:val="nil"/>
              <w:bottom w:val="single" w:sz="8" w:space="0" w:color="000000"/>
              <w:right w:val="single" w:sz="8" w:space="0" w:color="000000"/>
            </w:tcBorders>
            <w:shd w:val="clear" w:color="auto" w:fill="auto"/>
            <w:noWrap/>
            <w:vAlign w:val="center"/>
            <w:hideMark/>
          </w:tcPr>
          <w:p w14:paraId="2095CB3C"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1,120.38</w:t>
            </w:r>
          </w:p>
        </w:tc>
        <w:tc>
          <w:tcPr>
            <w:tcW w:w="1320" w:type="dxa"/>
            <w:tcBorders>
              <w:top w:val="nil"/>
              <w:left w:val="nil"/>
              <w:bottom w:val="single" w:sz="8" w:space="0" w:color="000000"/>
              <w:right w:val="single" w:sz="8" w:space="0" w:color="000000"/>
            </w:tcBorders>
            <w:shd w:val="clear" w:color="auto" w:fill="auto"/>
            <w:vAlign w:val="center"/>
            <w:hideMark/>
          </w:tcPr>
          <w:p w14:paraId="2DA28E18"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1,029.78</w:t>
            </w:r>
          </w:p>
        </w:tc>
      </w:tr>
      <w:tr w:rsidR="00E775FB" w:rsidRPr="001D5AE2" w14:paraId="12899C8F"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2AF50252"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VAT Allocation</w:t>
            </w:r>
          </w:p>
        </w:tc>
        <w:tc>
          <w:tcPr>
            <w:tcW w:w="1320" w:type="dxa"/>
            <w:tcBorders>
              <w:top w:val="nil"/>
              <w:left w:val="nil"/>
              <w:bottom w:val="single" w:sz="8" w:space="0" w:color="000000"/>
              <w:right w:val="single" w:sz="8" w:space="0" w:color="000000"/>
            </w:tcBorders>
            <w:shd w:val="clear" w:color="auto" w:fill="auto"/>
            <w:noWrap/>
            <w:vAlign w:val="center"/>
            <w:hideMark/>
          </w:tcPr>
          <w:p w14:paraId="1466CDAC"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41,660.06</w:t>
            </w:r>
          </w:p>
        </w:tc>
        <w:tc>
          <w:tcPr>
            <w:tcW w:w="1320" w:type="dxa"/>
            <w:tcBorders>
              <w:top w:val="nil"/>
              <w:left w:val="nil"/>
              <w:bottom w:val="single" w:sz="8" w:space="0" w:color="000000"/>
              <w:right w:val="single" w:sz="8" w:space="0" w:color="000000"/>
            </w:tcBorders>
            <w:shd w:val="clear" w:color="auto" w:fill="auto"/>
            <w:noWrap/>
            <w:vAlign w:val="center"/>
            <w:hideMark/>
          </w:tcPr>
          <w:p w14:paraId="46ECF6B5"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56,031.70</w:t>
            </w:r>
          </w:p>
        </w:tc>
        <w:tc>
          <w:tcPr>
            <w:tcW w:w="1320" w:type="dxa"/>
            <w:tcBorders>
              <w:top w:val="nil"/>
              <w:left w:val="nil"/>
              <w:bottom w:val="single" w:sz="8" w:space="0" w:color="000000"/>
              <w:right w:val="single" w:sz="8" w:space="0" w:color="000000"/>
            </w:tcBorders>
            <w:shd w:val="clear" w:color="auto" w:fill="auto"/>
            <w:vAlign w:val="center"/>
            <w:hideMark/>
          </w:tcPr>
          <w:p w14:paraId="0BC15294"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72,429.64</w:t>
            </w:r>
          </w:p>
        </w:tc>
      </w:tr>
      <w:tr w:rsidR="00E775FB" w:rsidRPr="001D5AE2" w14:paraId="5469CBBD"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4447D48B"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IGR</w:t>
            </w:r>
          </w:p>
        </w:tc>
        <w:tc>
          <w:tcPr>
            <w:tcW w:w="1320" w:type="dxa"/>
            <w:tcBorders>
              <w:top w:val="nil"/>
              <w:left w:val="nil"/>
              <w:bottom w:val="single" w:sz="8" w:space="0" w:color="000000"/>
              <w:right w:val="single" w:sz="8" w:space="0" w:color="000000"/>
            </w:tcBorders>
            <w:shd w:val="clear" w:color="auto" w:fill="auto"/>
            <w:noWrap/>
            <w:vAlign w:val="center"/>
            <w:hideMark/>
          </w:tcPr>
          <w:p w14:paraId="12B1B3FD"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17,887.34</w:t>
            </w:r>
          </w:p>
        </w:tc>
        <w:tc>
          <w:tcPr>
            <w:tcW w:w="1320" w:type="dxa"/>
            <w:tcBorders>
              <w:top w:val="nil"/>
              <w:left w:val="nil"/>
              <w:bottom w:val="single" w:sz="8" w:space="0" w:color="000000"/>
              <w:right w:val="single" w:sz="8" w:space="0" w:color="000000"/>
            </w:tcBorders>
            <w:shd w:val="clear" w:color="auto" w:fill="auto"/>
            <w:noWrap/>
            <w:vAlign w:val="center"/>
            <w:hideMark/>
          </w:tcPr>
          <w:p w14:paraId="46529C12"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19,230.72</w:t>
            </w:r>
          </w:p>
        </w:tc>
        <w:tc>
          <w:tcPr>
            <w:tcW w:w="1320" w:type="dxa"/>
            <w:tcBorders>
              <w:top w:val="nil"/>
              <w:left w:val="nil"/>
              <w:bottom w:val="single" w:sz="8" w:space="0" w:color="000000"/>
              <w:right w:val="single" w:sz="8" w:space="0" w:color="000000"/>
            </w:tcBorders>
            <w:shd w:val="clear" w:color="auto" w:fill="auto"/>
            <w:vAlign w:val="center"/>
            <w:hideMark/>
          </w:tcPr>
          <w:p w14:paraId="6A3A29FD"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24,999.94</w:t>
            </w:r>
          </w:p>
        </w:tc>
      </w:tr>
      <w:tr w:rsidR="00E775FB" w:rsidRPr="001D5AE2" w14:paraId="20291BEF"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79BA0306"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lastRenderedPageBreak/>
              <w:t>Grants</w:t>
            </w:r>
          </w:p>
        </w:tc>
        <w:tc>
          <w:tcPr>
            <w:tcW w:w="1320" w:type="dxa"/>
            <w:tcBorders>
              <w:top w:val="nil"/>
              <w:left w:val="nil"/>
              <w:bottom w:val="single" w:sz="8" w:space="0" w:color="000000"/>
              <w:right w:val="single" w:sz="8" w:space="0" w:color="000000"/>
            </w:tcBorders>
            <w:shd w:val="clear" w:color="auto" w:fill="auto"/>
            <w:noWrap/>
            <w:vAlign w:val="center"/>
            <w:hideMark/>
          </w:tcPr>
          <w:p w14:paraId="7012F690"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19,380.38</w:t>
            </w:r>
          </w:p>
        </w:tc>
        <w:tc>
          <w:tcPr>
            <w:tcW w:w="1320" w:type="dxa"/>
            <w:tcBorders>
              <w:top w:val="nil"/>
              <w:left w:val="nil"/>
              <w:bottom w:val="single" w:sz="8" w:space="0" w:color="000000"/>
              <w:right w:val="single" w:sz="8" w:space="0" w:color="000000"/>
            </w:tcBorders>
            <w:shd w:val="clear" w:color="auto" w:fill="auto"/>
            <w:noWrap/>
            <w:vAlign w:val="center"/>
            <w:hideMark/>
          </w:tcPr>
          <w:p w14:paraId="2289D60B"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25,963.35</w:t>
            </w:r>
          </w:p>
        </w:tc>
        <w:tc>
          <w:tcPr>
            <w:tcW w:w="1320" w:type="dxa"/>
            <w:tcBorders>
              <w:top w:val="nil"/>
              <w:left w:val="nil"/>
              <w:bottom w:val="single" w:sz="8" w:space="0" w:color="000000"/>
              <w:right w:val="single" w:sz="8" w:space="0" w:color="000000"/>
            </w:tcBorders>
            <w:shd w:val="clear" w:color="auto" w:fill="auto"/>
            <w:vAlign w:val="center"/>
            <w:hideMark/>
          </w:tcPr>
          <w:p w14:paraId="1CE534D9"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26,751.27</w:t>
            </w:r>
          </w:p>
        </w:tc>
      </w:tr>
      <w:tr w:rsidR="00E775FB" w:rsidRPr="001D5AE2" w14:paraId="36EABF7B"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64217504"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Other Non-Debt Creating Capital Receipts</w:t>
            </w:r>
          </w:p>
        </w:tc>
        <w:tc>
          <w:tcPr>
            <w:tcW w:w="1320" w:type="dxa"/>
            <w:tcBorders>
              <w:top w:val="nil"/>
              <w:left w:val="nil"/>
              <w:bottom w:val="single" w:sz="8" w:space="0" w:color="000000"/>
              <w:right w:val="single" w:sz="8" w:space="0" w:color="000000"/>
            </w:tcBorders>
            <w:shd w:val="clear" w:color="auto" w:fill="auto"/>
            <w:noWrap/>
            <w:vAlign w:val="center"/>
            <w:hideMark/>
          </w:tcPr>
          <w:p w14:paraId="72930872"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12,820.11</w:t>
            </w:r>
          </w:p>
        </w:tc>
        <w:tc>
          <w:tcPr>
            <w:tcW w:w="1320" w:type="dxa"/>
            <w:tcBorders>
              <w:top w:val="nil"/>
              <w:left w:val="nil"/>
              <w:bottom w:val="single" w:sz="8" w:space="0" w:color="000000"/>
              <w:right w:val="single" w:sz="8" w:space="0" w:color="000000"/>
            </w:tcBorders>
            <w:shd w:val="clear" w:color="auto" w:fill="auto"/>
            <w:noWrap/>
            <w:vAlign w:val="center"/>
            <w:hideMark/>
          </w:tcPr>
          <w:p w14:paraId="0DB7F022"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0.00</w:t>
            </w:r>
          </w:p>
        </w:tc>
        <w:tc>
          <w:tcPr>
            <w:tcW w:w="1320" w:type="dxa"/>
            <w:tcBorders>
              <w:top w:val="nil"/>
              <w:left w:val="nil"/>
              <w:bottom w:val="single" w:sz="8" w:space="0" w:color="000000"/>
              <w:right w:val="single" w:sz="8" w:space="0" w:color="000000"/>
            </w:tcBorders>
            <w:shd w:val="clear" w:color="auto" w:fill="auto"/>
            <w:vAlign w:val="center"/>
            <w:hideMark/>
          </w:tcPr>
          <w:p w14:paraId="6483FF6C"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0.00</w:t>
            </w:r>
          </w:p>
        </w:tc>
      </w:tr>
      <w:tr w:rsidR="00E775FB" w:rsidRPr="001D5AE2" w14:paraId="125AE75E"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000000" w:fill="D9D9D9"/>
            <w:noWrap/>
            <w:vAlign w:val="center"/>
            <w:hideMark/>
          </w:tcPr>
          <w:p w14:paraId="66C0A514" w14:textId="77777777" w:rsidR="00E775FB" w:rsidRPr="001D5AE2" w:rsidRDefault="00E775FB" w:rsidP="00E775FB">
            <w:pPr>
              <w:spacing w:after="0" w:line="240" w:lineRule="auto"/>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Total Revenue</w:t>
            </w:r>
          </w:p>
        </w:tc>
        <w:tc>
          <w:tcPr>
            <w:tcW w:w="1320" w:type="dxa"/>
            <w:tcBorders>
              <w:top w:val="nil"/>
              <w:left w:val="nil"/>
              <w:bottom w:val="single" w:sz="8" w:space="0" w:color="000000"/>
              <w:right w:val="single" w:sz="8" w:space="0" w:color="000000"/>
            </w:tcBorders>
            <w:shd w:val="clear" w:color="000000" w:fill="D9D9D9"/>
            <w:noWrap/>
            <w:vAlign w:val="center"/>
            <w:hideMark/>
          </w:tcPr>
          <w:p w14:paraId="0789D07A"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195,107.15</w:t>
            </w:r>
          </w:p>
        </w:tc>
        <w:tc>
          <w:tcPr>
            <w:tcW w:w="1320" w:type="dxa"/>
            <w:tcBorders>
              <w:top w:val="nil"/>
              <w:left w:val="nil"/>
              <w:bottom w:val="single" w:sz="8" w:space="0" w:color="000000"/>
              <w:right w:val="single" w:sz="8" w:space="0" w:color="000000"/>
            </w:tcBorders>
            <w:shd w:val="clear" w:color="000000" w:fill="D9D9D9"/>
            <w:noWrap/>
            <w:vAlign w:val="center"/>
            <w:hideMark/>
          </w:tcPr>
          <w:p w14:paraId="4D0F947D"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194,477.73</w:t>
            </w:r>
          </w:p>
        </w:tc>
        <w:tc>
          <w:tcPr>
            <w:tcW w:w="1320" w:type="dxa"/>
            <w:tcBorders>
              <w:top w:val="nil"/>
              <w:left w:val="nil"/>
              <w:bottom w:val="single" w:sz="8" w:space="0" w:color="000000"/>
              <w:right w:val="single" w:sz="8" w:space="0" w:color="000000"/>
            </w:tcBorders>
            <w:shd w:val="clear" w:color="000000" w:fill="D9D9D9"/>
            <w:noWrap/>
            <w:vAlign w:val="center"/>
            <w:hideMark/>
          </w:tcPr>
          <w:p w14:paraId="69C053C7"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231,190.82</w:t>
            </w:r>
          </w:p>
        </w:tc>
      </w:tr>
      <w:tr w:rsidR="00E775FB" w:rsidRPr="001D5AE2" w14:paraId="0D74F439"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446AAE1B" w14:textId="77777777" w:rsidR="00E775FB" w:rsidRPr="001D5AE2" w:rsidRDefault="00E775FB" w:rsidP="00E775FB">
            <w:pPr>
              <w:spacing w:after="0" w:line="240" w:lineRule="auto"/>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4BA61B0C"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3E688203"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4A508116"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 </w:t>
            </w:r>
          </w:p>
        </w:tc>
      </w:tr>
      <w:tr w:rsidR="00E775FB" w:rsidRPr="001D5AE2" w14:paraId="1CA50971"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5AC9F045" w14:textId="77777777" w:rsidR="00E775FB" w:rsidRPr="001D5AE2" w:rsidRDefault="00E775FB" w:rsidP="00E775FB">
            <w:pPr>
              <w:spacing w:after="0" w:line="240" w:lineRule="auto"/>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Expenditure</w:t>
            </w:r>
          </w:p>
        </w:tc>
        <w:tc>
          <w:tcPr>
            <w:tcW w:w="1320" w:type="dxa"/>
            <w:tcBorders>
              <w:top w:val="nil"/>
              <w:left w:val="nil"/>
              <w:bottom w:val="single" w:sz="8" w:space="0" w:color="000000"/>
              <w:right w:val="single" w:sz="8" w:space="0" w:color="000000"/>
            </w:tcBorders>
            <w:shd w:val="clear" w:color="auto" w:fill="auto"/>
            <w:noWrap/>
            <w:vAlign w:val="center"/>
            <w:hideMark/>
          </w:tcPr>
          <w:p w14:paraId="10135E70"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lang w:val="en-GB"/>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521A9A38"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lang w:val="en-GB"/>
              </w:rPr>
              <w:t> </w:t>
            </w:r>
          </w:p>
        </w:tc>
        <w:tc>
          <w:tcPr>
            <w:tcW w:w="1320" w:type="dxa"/>
            <w:tcBorders>
              <w:top w:val="nil"/>
              <w:left w:val="nil"/>
              <w:bottom w:val="single" w:sz="8" w:space="0" w:color="000000"/>
              <w:right w:val="single" w:sz="8" w:space="0" w:color="000000"/>
            </w:tcBorders>
            <w:shd w:val="clear" w:color="auto" w:fill="auto"/>
            <w:vAlign w:val="center"/>
            <w:hideMark/>
          </w:tcPr>
          <w:p w14:paraId="619B44A3"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lang w:val="en-GB"/>
              </w:rPr>
              <w:t> </w:t>
            </w:r>
          </w:p>
        </w:tc>
      </w:tr>
      <w:tr w:rsidR="00E775FB" w:rsidRPr="001D5AE2" w14:paraId="0C222F2C"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026800EE"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Personnel costs</w:t>
            </w:r>
          </w:p>
        </w:tc>
        <w:tc>
          <w:tcPr>
            <w:tcW w:w="1320" w:type="dxa"/>
            <w:tcBorders>
              <w:top w:val="nil"/>
              <w:left w:val="nil"/>
              <w:bottom w:val="single" w:sz="8" w:space="0" w:color="000000"/>
              <w:right w:val="single" w:sz="8" w:space="0" w:color="000000"/>
            </w:tcBorders>
            <w:shd w:val="clear" w:color="auto" w:fill="auto"/>
            <w:noWrap/>
            <w:vAlign w:val="center"/>
            <w:hideMark/>
          </w:tcPr>
          <w:p w14:paraId="6AF86BDF"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40,321.25</w:t>
            </w:r>
          </w:p>
        </w:tc>
        <w:tc>
          <w:tcPr>
            <w:tcW w:w="1320" w:type="dxa"/>
            <w:tcBorders>
              <w:top w:val="nil"/>
              <w:left w:val="nil"/>
              <w:bottom w:val="single" w:sz="8" w:space="0" w:color="000000"/>
              <w:right w:val="single" w:sz="8" w:space="0" w:color="000000"/>
            </w:tcBorders>
            <w:shd w:val="clear" w:color="auto" w:fill="auto"/>
            <w:noWrap/>
            <w:vAlign w:val="center"/>
            <w:hideMark/>
          </w:tcPr>
          <w:p w14:paraId="574F39CE"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46,777.48</w:t>
            </w:r>
          </w:p>
        </w:tc>
        <w:tc>
          <w:tcPr>
            <w:tcW w:w="1320" w:type="dxa"/>
            <w:tcBorders>
              <w:top w:val="nil"/>
              <w:left w:val="nil"/>
              <w:bottom w:val="single" w:sz="8" w:space="0" w:color="000000"/>
              <w:right w:val="single" w:sz="8" w:space="0" w:color="000000"/>
            </w:tcBorders>
            <w:shd w:val="clear" w:color="auto" w:fill="auto"/>
            <w:vAlign w:val="center"/>
            <w:hideMark/>
          </w:tcPr>
          <w:p w14:paraId="1569850E"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48,233.71</w:t>
            </w:r>
          </w:p>
        </w:tc>
      </w:tr>
      <w:tr w:rsidR="00E775FB" w:rsidRPr="001D5AE2" w14:paraId="44667E55"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16787098"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Overhead costs</w:t>
            </w:r>
          </w:p>
        </w:tc>
        <w:tc>
          <w:tcPr>
            <w:tcW w:w="1320" w:type="dxa"/>
            <w:tcBorders>
              <w:top w:val="nil"/>
              <w:left w:val="nil"/>
              <w:bottom w:val="single" w:sz="8" w:space="0" w:color="000000"/>
              <w:right w:val="single" w:sz="8" w:space="0" w:color="000000"/>
            </w:tcBorders>
            <w:shd w:val="clear" w:color="auto" w:fill="auto"/>
            <w:noWrap/>
            <w:vAlign w:val="center"/>
            <w:hideMark/>
          </w:tcPr>
          <w:p w14:paraId="2584473E"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30,717.68</w:t>
            </w:r>
          </w:p>
        </w:tc>
        <w:tc>
          <w:tcPr>
            <w:tcW w:w="1320" w:type="dxa"/>
            <w:tcBorders>
              <w:top w:val="nil"/>
              <w:left w:val="nil"/>
              <w:bottom w:val="single" w:sz="8" w:space="0" w:color="000000"/>
              <w:right w:val="single" w:sz="8" w:space="0" w:color="000000"/>
            </w:tcBorders>
            <w:shd w:val="clear" w:color="auto" w:fill="auto"/>
            <w:noWrap/>
            <w:vAlign w:val="center"/>
            <w:hideMark/>
          </w:tcPr>
          <w:p w14:paraId="5EADEF10"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18,774.43</w:t>
            </w:r>
          </w:p>
        </w:tc>
        <w:tc>
          <w:tcPr>
            <w:tcW w:w="1320" w:type="dxa"/>
            <w:tcBorders>
              <w:top w:val="nil"/>
              <w:left w:val="nil"/>
              <w:bottom w:val="single" w:sz="8" w:space="0" w:color="000000"/>
              <w:right w:val="single" w:sz="8" w:space="0" w:color="000000"/>
            </w:tcBorders>
            <w:shd w:val="clear" w:color="auto" w:fill="auto"/>
            <w:vAlign w:val="center"/>
            <w:hideMark/>
          </w:tcPr>
          <w:p w14:paraId="51B914F9"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23,337.66</w:t>
            </w:r>
          </w:p>
        </w:tc>
      </w:tr>
      <w:tr w:rsidR="00E775FB" w:rsidRPr="001D5AE2" w14:paraId="3253CF6B"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2B094F9B"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Other Recurrent Expenditure*</w:t>
            </w:r>
          </w:p>
        </w:tc>
        <w:tc>
          <w:tcPr>
            <w:tcW w:w="1320" w:type="dxa"/>
            <w:tcBorders>
              <w:top w:val="nil"/>
              <w:left w:val="nil"/>
              <w:bottom w:val="single" w:sz="8" w:space="0" w:color="000000"/>
              <w:right w:val="single" w:sz="8" w:space="0" w:color="000000"/>
            </w:tcBorders>
            <w:shd w:val="clear" w:color="auto" w:fill="auto"/>
            <w:noWrap/>
            <w:vAlign w:val="center"/>
            <w:hideMark/>
          </w:tcPr>
          <w:p w14:paraId="1F3FC726"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14,595.36</w:t>
            </w:r>
          </w:p>
        </w:tc>
        <w:tc>
          <w:tcPr>
            <w:tcW w:w="1320" w:type="dxa"/>
            <w:tcBorders>
              <w:top w:val="nil"/>
              <w:left w:val="nil"/>
              <w:bottom w:val="single" w:sz="8" w:space="0" w:color="000000"/>
              <w:right w:val="single" w:sz="8" w:space="0" w:color="000000"/>
            </w:tcBorders>
            <w:shd w:val="clear" w:color="auto" w:fill="auto"/>
            <w:noWrap/>
            <w:vAlign w:val="center"/>
            <w:hideMark/>
          </w:tcPr>
          <w:p w14:paraId="6CC7CE79"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23,386.44</w:t>
            </w:r>
          </w:p>
        </w:tc>
        <w:tc>
          <w:tcPr>
            <w:tcW w:w="1320" w:type="dxa"/>
            <w:tcBorders>
              <w:top w:val="nil"/>
              <w:left w:val="nil"/>
              <w:bottom w:val="single" w:sz="8" w:space="0" w:color="000000"/>
              <w:right w:val="single" w:sz="8" w:space="0" w:color="000000"/>
            </w:tcBorders>
            <w:shd w:val="clear" w:color="auto" w:fill="auto"/>
            <w:vAlign w:val="center"/>
            <w:hideMark/>
          </w:tcPr>
          <w:p w14:paraId="4848F7B6"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44,583.98</w:t>
            </w:r>
          </w:p>
        </w:tc>
      </w:tr>
      <w:tr w:rsidR="00E775FB" w:rsidRPr="001D5AE2" w14:paraId="03CB563C"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54490E97"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Capital Expenditure</w:t>
            </w:r>
          </w:p>
        </w:tc>
        <w:tc>
          <w:tcPr>
            <w:tcW w:w="1320" w:type="dxa"/>
            <w:tcBorders>
              <w:top w:val="nil"/>
              <w:left w:val="nil"/>
              <w:bottom w:val="single" w:sz="8" w:space="0" w:color="000000"/>
              <w:right w:val="single" w:sz="8" w:space="0" w:color="000000"/>
            </w:tcBorders>
            <w:shd w:val="clear" w:color="auto" w:fill="auto"/>
            <w:noWrap/>
            <w:vAlign w:val="center"/>
            <w:hideMark/>
          </w:tcPr>
          <w:p w14:paraId="11C1A514"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146,172.86</w:t>
            </w:r>
          </w:p>
        </w:tc>
        <w:tc>
          <w:tcPr>
            <w:tcW w:w="1320" w:type="dxa"/>
            <w:tcBorders>
              <w:top w:val="nil"/>
              <w:left w:val="nil"/>
              <w:bottom w:val="single" w:sz="8" w:space="0" w:color="000000"/>
              <w:right w:val="single" w:sz="8" w:space="0" w:color="000000"/>
            </w:tcBorders>
            <w:shd w:val="clear" w:color="auto" w:fill="auto"/>
            <w:noWrap/>
            <w:vAlign w:val="center"/>
            <w:hideMark/>
          </w:tcPr>
          <w:p w14:paraId="4CE6AB29"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132,700.01</w:t>
            </w:r>
          </w:p>
        </w:tc>
        <w:tc>
          <w:tcPr>
            <w:tcW w:w="1320" w:type="dxa"/>
            <w:tcBorders>
              <w:top w:val="nil"/>
              <w:left w:val="nil"/>
              <w:bottom w:val="single" w:sz="8" w:space="0" w:color="000000"/>
              <w:right w:val="single" w:sz="8" w:space="0" w:color="000000"/>
            </w:tcBorders>
            <w:shd w:val="clear" w:color="auto" w:fill="auto"/>
            <w:vAlign w:val="center"/>
            <w:hideMark/>
          </w:tcPr>
          <w:p w14:paraId="484114E4"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148,399.70</w:t>
            </w:r>
          </w:p>
        </w:tc>
      </w:tr>
      <w:tr w:rsidR="00E775FB" w:rsidRPr="001D5AE2" w14:paraId="2975FD54"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000000" w:fill="D9D9D9"/>
            <w:noWrap/>
            <w:vAlign w:val="center"/>
            <w:hideMark/>
          </w:tcPr>
          <w:p w14:paraId="2AB7E263" w14:textId="77777777" w:rsidR="00E775FB" w:rsidRPr="001D5AE2" w:rsidRDefault="00E775FB" w:rsidP="00E775FB">
            <w:pPr>
              <w:spacing w:after="0" w:line="240" w:lineRule="auto"/>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Total Expenditure</w:t>
            </w:r>
          </w:p>
        </w:tc>
        <w:tc>
          <w:tcPr>
            <w:tcW w:w="1320" w:type="dxa"/>
            <w:tcBorders>
              <w:top w:val="nil"/>
              <w:left w:val="nil"/>
              <w:bottom w:val="single" w:sz="8" w:space="0" w:color="000000"/>
              <w:right w:val="single" w:sz="8" w:space="0" w:color="000000"/>
            </w:tcBorders>
            <w:shd w:val="clear" w:color="000000" w:fill="D9D9D9"/>
            <w:noWrap/>
            <w:vAlign w:val="center"/>
            <w:hideMark/>
          </w:tcPr>
          <w:p w14:paraId="6B74B858"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231,807.15</w:t>
            </w:r>
          </w:p>
        </w:tc>
        <w:tc>
          <w:tcPr>
            <w:tcW w:w="1320" w:type="dxa"/>
            <w:tcBorders>
              <w:top w:val="nil"/>
              <w:left w:val="nil"/>
              <w:bottom w:val="single" w:sz="8" w:space="0" w:color="000000"/>
              <w:right w:val="single" w:sz="8" w:space="0" w:color="000000"/>
            </w:tcBorders>
            <w:shd w:val="clear" w:color="000000" w:fill="D9D9D9"/>
            <w:noWrap/>
            <w:vAlign w:val="center"/>
            <w:hideMark/>
          </w:tcPr>
          <w:p w14:paraId="77D0F3A3"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221,638.36</w:t>
            </w:r>
          </w:p>
        </w:tc>
        <w:tc>
          <w:tcPr>
            <w:tcW w:w="1320" w:type="dxa"/>
            <w:tcBorders>
              <w:top w:val="nil"/>
              <w:left w:val="nil"/>
              <w:bottom w:val="single" w:sz="8" w:space="0" w:color="000000"/>
              <w:right w:val="single" w:sz="8" w:space="0" w:color="000000"/>
            </w:tcBorders>
            <w:shd w:val="clear" w:color="000000" w:fill="D9D9D9"/>
            <w:noWrap/>
            <w:vAlign w:val="center"/>
            <w:hideMark/>
          </w:tcPr>
          <w:p w14:paraId="261FB52B"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264,555.06</w:t>
            </w:r>
          </w:p>
        </w:tc>
      </w:tr>
      <w:tr w:rsidR="00E775FB" w:rsidRPr="001D5AE2" w14:paraId="3E4F5B25"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2E8436AA" w14:textId="77777777" w:rsidR="00E775FB" w:rsidRPr="001D5AE2" w:rsidRDefault="00E775FB" w:rsidP="00E775FB">
            <w:pPr>
              <w:spacing w:after="0" w:line="240" w:lineRule="auto"/>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2131E59C"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124260F3"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 </w:t>
            </w:r>
          </w:p>
        </w:tc>
        <w:tc>
          <w:tcPr>
            <w:tcW w:w="1320" w:type="dxa"/>
            <w:tcBorders>
              <w:top w:val="nil"/>
              <w:left w:val="nil"/>
              <w:bottom w:val="single" w:sz="8" w:space="0" w:color="000000"/>
              <w:right w:val="single" w:sz="8" w:space="0" w:color="000000"/>
            </w:tcBorders>
            <w:shd w:val="clear" w:color="auto" w:fill="auto"/>
            <w:noWrap/>
            <w:vAlign w:val="center"/>
            <w:hideMark/>
          </w:tcPr>
          <w:p w14:paraId="178E0480" w14:textId="77777777" w:rsidR="00E775FB" w:rsidRPr="001D5AE2" w:rsidRDefault="00E775FB" w:rsidP="00E775FB">
            <w:pPr>
              <w:spacing w:after="0" w:line="240" w:lineRule="auto"/>
              <w:jc w:val="center"/>
              <w:rPr>
                <w:rFonts w:ascii="Calibri" w:eastAsia="Times New Roman" w:hAnsi="Calibri" w:cs="Calibri"/>
                <w:b/>
                <w:bCs/>
                <w:color w:val="000000"/>
                <w:sz w:val="20"/>
                <w:szCs w:val="20"/>
              </w:rPr>
            </w:pPr>
            <w:r w:rsidRPr="001D5AE2">
              <w:rPr>
                <w:rFonts w:ascii="Calibri" w:eastAsia="Times New Roman" w:hAnsi="Calibri" w:cs="Calibri"/>
                <w:b/>
                <w:bCs/>
                <w:color w:val="000000"/>
                <w:sz w:val="20"/>
                <w:szCs w:val="20"/>
              </w:rPr>
              <w:t> </w:t>
            </w:r>
          </w:p>
        </w:tc>
      </w:tr>
      <w:tr w:rsidR="00E775FB" w:rsidRPr="001D5AE2" w14:paraId="3D6E2DFF"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000000" w:fill="D9D9D9"/>
            <w:noWrap/>
            <w:vAlign w:val="center"/>
            <w:hideMark/>
          </w:tcPr>
          <w:p w14:paraId="05688093" w14:textId="77777777" w:rsidR="00E775FB" w:rsidRPr="001D5AE2" w:rsidRDefault="00E775FB" w:rsidP="00E775FB">
            <w:pPr>
              <w:spacing w:after="0" w:line="240" w:lineRule="auto"/>
              <w:rPr>
                <w:rFonts w:ascii="Calibri" w:eastAsia="Times New Roman" w:hAnsi="Calibri" w:cs="Calibri"/>
                <w:b/>
                <w:bCs/>
                <w:color w:val="FF0000"/>
                <w:sz w:val="20"/>
                <w:szCs w:val="20"/>
              </w:rPr>
            </w:pPr>
            <w:r w:rsidRPr="001D5AE2">
              <w:rPr>
                <w:rFonts w:ascii="Calibri" w:eastAsia="Times New Roman" w:hAnsi="Calibri" w:cs="Calibri"/>
                <w:b/>
                <w:bCs/>
                <w:color w:val="FF0000"/>
                <w:sz w:val="20"/>
                <w:szCs w:val="20"/>
              </w:rPr>
              <w:t>Budget Deficit</w:t>
            </w:r>
          </w:p>
        </w:tc>
        <w:tc>
          <w:tcPr>
            <w:tcW w:w="1320" w:type="dxa"/>
            <w:tcBorders>
              <w:top w:val="nil"/>
              <w:left w:val="nil"/>
              <w:bottom w:val="single" w:sz="8" w:space="0" w:color="000000"/>
              <w:right w:val="single" w:sz="8" w:space="0" w:color="000000"/>
            </w:tcBorders>
            <w:shd w:val="clear" w:color="000000" w:fill="D9D9D9"/>
            <w:noWrap/>
            <w:vAlign w:val="center"/>
            <w:hideMark/>
          </w:tcPr>
          <w:p w14:paraId="15192A9F" w14:textId="77777777" w:rsidR="00E775FB" w:rsidRPr="001D5AE2" w:rsidRDefault="00E775FB" w:rsidP="00E775FB">
            <w:pPr>
              <w:spacing w:after="0" w:line="240" w:lineRule="auto"/>
              <w:jc w:val="center"/>
              <w:rPr>
                <w:rFonts w:ascii="Calibri" w:eastAsia="Times New Roman" w:hAnsi="Calibri" w:cs="Calibri"/>
                <w:b/>
                <w:bCs/>
                <w:color w:val="FF0000"/>
                <w:sz w:val="20"/>
                <w:szCs w:val="20"/>
              </w:rPr>
            </w:pPr>
            <w:r w:rsidRPr="001D5AE2">
              <w:rPr>
                <w:rFonts w:ascii="Calibri" w:eastAsia="Times New Roman" w:hAnsi="Calibri" w:cs="Calibri"/>
                <w:b/>
                <w:bCs/>
                <w:color w:val="FF0000"/>
                <w:sz w:val="20"/>
                <w:szCs w:val="20"/>
              </w:rPr>
              <w:t>36,700.00</w:t>
            </w:r>
          </w:p>
        </w:tc>
        <w:tc>
          <w:tcPr>
            <w:tcW w:w="1320" w:type="dxa"/>
            <w:tcBorders>
              <w:top w:val="nil"/>
              <w:left w:val="nil"/>
              <w:bottom w:val="single" w:sz="8" w:space="0" w:color="000000"/>
              <w:right w:val="single" w:sz="8" w:space="0" w:color="000000"/>
            </w:tcBorders>
            <w:shd w:val="clear" w:color="000000" w:fill="D9D9D9"/>
            <w:noWrap/>
            <w:vAlign w:val="center"/>
            <w:hideMark/>
          </w:tcPr>
          <w:p w14:paraId="0184D77A" w14:textId="77777777" w:rsidR="00E775FB" w:rsidRPr="001D5AE2" w:rsidRDefault="00E775FB" w:rsidP="00E775FB">
            <w:pPr>
              <w:spacing w:after="0" w:line="240" w:lineRule="auto"/>
              <w:jc w:val="center"/>
              <w:rPr>
                <w:rFonts w:ascii="Calibri" w:eastAsia="Times New Roman" w:hAnsi="Calibri" w:cs="Calibri"/>
                <w:b/>
                <w:bCs/>
                <w:color w:val="FF0000"/>
                <w:sz w:val="20"/>
                <w:szCs w:val="20"/>
              </w:rPr>
            </w:pPr>
            <w:r w:rsidRPr="001D5AE2">
              <w:rPr>
                <w:rFonts w:ascii="Calibri" w:eastAsia="Times New Roman" w:hAnsi="Calibri" w:cs="Calibri"/>
                <w:b/>
                <w:bCs/>
                <w:color w:val="FF0000"/>
                <w:sz w:val="20"/>
                <w:szCs w:val="20"/>
              </w:rPr>
              <w:t>27,160.62</w:t>
            </w:r>
          </w:p>
        </w:tc>
        <w:tc>
          <w:tcPr>
            <w:tcW w:w="1320" w:type="dxa"/>
            <w:tcBorders>
              <w:top w:val="nil"/>
              <w:left w:val="nil"/>
              <w:bottom w:val="single" w:sz="8" w:space="0" w:color="000000"/>
              <w:right w:val="single" w:sz="8" w:space="0" w:color="000000"/>
            </w:tcBorders>
            <w:shd w:val="clear" w:color="000000" w:fill="D9D9D9"/>
            <w:noWrap/>
            <w:vAlign w:val="center"/>
            <w:hideMark/>
          </w:tcPr>
          <w:p w14:paraId="604B2242" w14:textId="77777777" w:rsidR="00E775FB" w:rsidRPr="001D5AE2" w:rsidRDefault="00E775FB" w:rsidP="00E775FB">
            <w:pPr>
              <w:spacing w:after="0" w:line="240" w:lineRule="auto"/>
              <w:jc w:val="center"/>
              <w:rPr>
                <w:rFonts w:ascii="Calibri" w:eastAsia="Times New Roman" w:hAnsi="Calibri" w:cs="Calibri"/>
                <w:b/>
                <w:bCs/>
                <w:color w:val="FF0000"/>
                <w:sz w:val="20"/>
                <w:szCs w:val="20"/>
              </w:rPr>
            </w:pPr>
            <w:r w:rsidRPr="001D5AE2">
              <w:rPr>
                <w:rFonts w:ascii="Calibri" w:eastAsia="Times New Roman" w:hAnsi="Calibri" w:cs="Calibri"/>
                <w:b/>
                <w:bCs/>
                <w:color w:val="FF0000"/>
                <w:sz w:val="20"/>
                <w:szCs w:val="20"/>
              </w:rPr>
              <w:t>33,364.24</w:t>
            </w:r>
          </w:p>
        </w:tc>
      </w:tr>
      <w:tr w:rsidR="00E775FB" w:rsidRPr="001D5AE2" w14:paraId="03319142"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46E763C8"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New Domestic Borrowing</w:t>
            </w:r>
          </w:p>
        </w:tc>
        <w:tc>
          <w:tcPr>
            <w:tcW w:w="1320" w:type="dxa"/>
            <w:tcBorders>
              <w:top w:val="nil"/>
              <w:left w:val="nil"/>
              <w:bottom w:val="single" w:sz="8" w:space="0" w:color="000000"/>
              <w:right w:val="single" w:sz="8" w:space="0" w:color="000000"/>
            </w:tcBorders>
            <w:shd w:val="clear" w:color="auto" w:fill="auto"/>
            <w:noWrap/>
            <w:vAlign w:val="center"/>
            <w:hideMark/>
          </w:tcPr>
          <w:p w14:paraId="35EBC8D2"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30,022.89</w:t>
            </w:r>
          </w:p>
        </w:tc>
        <w:tc>
          <w:tcPr>
            <w:tcW w:w="1320" w:type="dxa"/>
            <w:tcBorders>
              <w:top w:val="nil"/>
              <w:left w:val="nil"/>
              <w:bottom w:val="single" w:sz="8" w:space="0" w:color="000000"/>
              <w:right w:val="single" w:sz="8" w:space="0" w:color="000000"/>
            </w:tcBorders>
            <w:shd w:val="clear" w:color="auto" w:fill="auto"/>
            <w:noWrap/>
            <w:vAlign w:val="center"/>
            <w:hideMark/>
          </w:tcPr>
          <w:p w14:paraId="3183FFF9"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27,160.62</w:t>
            </w:r>
          </w:p>
        </w:tc>
        <w:tc>
          <w:tcPr>
            <w:tcW w:w="1320" w:type="dxa"/>
            <w:tcBorders>
              <w:top w:val="nil"/>
              <w:left w:val="nil"/>
              <w:bottom w:val="single" w:sz="8" w:space="0" w:color="000000"/>
              <w:right w:val="single" w:sz="8" w:space="0" w:color="000000"/>
            </w:tcBorders>
            <w:shd w:val="clear" w:color="auto" w:fill="auto"/>
            <w:vAlign w:val="center"/>
            <w:hideMark/>
          </w:tcPr>
          <w:p w14:paraId="2FFFCB93"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23,144.26</w:t>
            </w:r>
          </w:p>
        </w:tc>
      </w:tr>
      <w:tr w:rsidR="00E775FB" w:rsidRPr="001D5AE2" w14:paraId="1AAB8D8D" w14:textId="77777777" w:rsidTr="00AE152E">
        <w:trPr>
          <w:trHeight w:val="315"/>
        </w:trPr>
        <w:tc>
          <w:tcPr>
            <w:tcW w:w="4810" w:type="dxa"/>
            <w:tcBorders>
              <w:top w:val="nil"/>
              <w:left w:val="single" w:sz="8" w:space="0" w:color="000000"/>
              <w:bottom w:val="single" w:sz="8" w:space="0" w:color="000000"/>
              <w:right w:val="single" w:sz="8" w:space="0" w:color="000000"/>
            </w:tcBorders>
            <w:shd w:val="clear" w:color="auto" w:fill="auto"/>
            <w:noWrap/>
            <w:vAlign w:val="center"/>
            <w:hideMark/>
          </w:tcPr>
          <w:p w14:paraId="1F9E5610" w14:textId="77777777" w:rsidR="00E775FB" w:rsidRPr="001D5AE2" w:rsidRDefault="00E775FB" w:rsidP="00E775FB">
            <w:pPr>
              <w:spacing w:after="0" w:line="240" w:lineRule="auto"/>
              <w:rPr>
                <w:rFonts w:ascii="Calibri" w:eastAsia="Times New Roman" w:hAnsi="Calibri" w:cs="Calibri"/>
                <w:color w:val="000000"/>
                <w:sz w:val="20"/>
                <w:szCs w:val="20"/>
              </w:rPr>
            </w:pPr>
            <w:r w:rsidRPr="001D5AE2">
              <w:rPr>
                <w:rFonts w:ascii="Calibri" w:eastAsia="Times New Roman" w:hAnsi="Calibri" w:cs="Calibri"/>
                <w:color w:val="000000"/>
                <w:sz w:val="20"/>
                <w:szCs w:val="20"/>
              </w:rPr>
              <w:t>New External Borrowing</w:t>
            </w:r>
          </w:p>
        </w:tc>
        <w:tc>
          <w:tcPr>
            <w:tcW w:w="1320" w:type="dxa"/>
            <w:tcBorders>
              <w:top w:val="nil"/>
              <w:left w:val="nil"/>
              <w:bottom w:val="single" w:sz="8" w:space="0" w:color="000000"/>
              <w:right w:val="single" w:sz="8" w:space="0" w:color="000000"/>
            </w:tcBorders>
            <w:shd w:val="clear" w:color="auto" w:fill="auto"/>
            <w:noWrap/>
            <w:vAlign w:val="center"/>
            <w:hideMark/>
          </w:tcPr>
          <w:p w14:paraId="1858696D"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6,677.11</w:t>
            </w:r>
          </w:p>
        </w:tc>
        <w:tc>
          <w:tcPr>
            <w:tcW w:w="1320" w:type="dxa"/>
            <w:tcBorders>
              <w:top w:val="nil"/>
              <w:left w:val="nil"/>
              <w:bottom w:val="single" w:sz="8" w:space="0" w:color="000000"/>
              <w:right w:val="single" w:sz="8" w:space="0" w:color="000000"/>
            </w:tcBorders>
            <w:shd w:val="clear" w:color="auto" w:fill="auto"/>
            <w:noWrap/>
            <w:vAlign w:val="center"/>
            <w:hideMark/>
          </w:tcPr>
          <w:p w14:paraId="12D13B44"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0.00</w:t>
            </w:r>
          </w:p>
        </w:tc>
        <w:tc>
          <w:tcPr>
            <w:tcW w:w="1320" w:type="dxa"/>
            <w:tcBorders>
              <w:top w:val="nil"/>
              <w:left w:val="nil"/>
              <w:bottom w:val="single" w:sz="8" w:space="0" w:color="000000"/>
              <w:right w:val="single" w:sz="8" w:space="0" w:color="000000"/>
            </w:tcBorders>
            <w:shd w:val="clear" w:color="auto" w:fill="auto"/>
            <w:noWrap/>
            <w:vAlign w:val="center"/>
            <w:hideMark/>
          </w:tcPr>
          <w:p w14:paraId="7FDB49CF" w14:textId="77777777" w:rsidR="00E775FB" w:rsidRPr="001D5AE2" w:rsidRDefault="00E775FB" w:rsidP="00E775FB">
            <w:pPr>
              <w:spacing w:after="0" w:line="240" w:lineRule="auto"/>
              <w:jc w:val="center"/>
              <w:rPr>
                <w:rFonts w:ascii="Calibri" w:eastAsia="Times New Roman" w:hAnsi="Calibri" w:cs="Calibri"/>
                <w:color w:val="000000"/>
                <w:sz w:val="20"/>
                <w:szCs w:val="20"/>
              </w:rPr>
            </w:pPr>
            <w:r w:rsidRPr="001D5AE2">
              <w:rPr>
                <w:rFonts w:ascii="Calibri" w:eastAsia="Times New Roman" w:hAnsi="Calibri" w:cs="Calibri"/>
                <w:color w:val="000000"/>
                <w:sz w:val="20"/>
                <w:szCs w:val="20"/>
              </w:rPr>
              <w:t>10,219.98</w:t>
            </w:r>
          </w:p>
        </w:tc>
      </w:tr>
    </w:tbl>
    <w:p w14:paraId="561F7952" w14:textId="77777777" w:rsidR="00A26B4A" w:rsidRPr="001D5AE2" w:rsidRDefault="00A26B4A" w:rsidP="001068EB">
      <w:pPr>
        <w:jc w:val="both"/>
        <w:rPr>
          <w:rFonts w:ascii="Tahoma" w:hAnsi="Tahoma" w:cs="Tahoma"/>
        </w:rPr>
      </w:pPr>
      <w:r w:rsidRPr="001D5AE2">
        <w:rPr>
          <w:rFonts w:ascii="Tahoma" w:hAnsi="Tahoma" w:cs="Tahoma"/>
          <w:sz w:val="18"/>
          <w:szCs w:val="18"/>
        </w:rPr>
        <w:t>*Other Recurrent Expenditure comprises Debt Charges and other recurrent Expenditure</w:t>
      </w:r>
    </w:p>
    <w:p w14:paraId="0CF61C91" w14:textId="1F498843" w:rsidR="00744F79" w:rsidRPr="001D5AE2" w:rsidRDefault="00744F79" w:rsidP="00355E07">
      <w:pPr>
        <w:spacing w:after="0" w:line="360" w:lineRule="auto"/>
        <w:jc w:val="both"/>
        <w:rPr>
          <w:rFonts w:ascii="Tahoma" w:hAnsi="Tahoma" w:cs="Tahoma"/>
          <w:b/>
        </w:rPr>
      </w:pPr>
      <w:r w:rsidRPr="001D5AE2">
        <w:rPr>
          <w:rFonts w:ascii="Tahoma" w:hAnsi="Tahoma" w:cs="Tahoma"/>
          <w:b/>
        </w:rPr>
        <w:t xml:space="preserve">Assumption </w:t>
      </w:r>
      <w:r w:rsidR="001068EB" w:rsidRPr="001D5AE2">
        <w:rPr>
          <w:rFonts w:ascii="Tahoma" w:hAnsi="Tahoma" w:cs="Tahoma"/>
          <w:b/>
        </w:rPr>
        <w:t xml:space="preserve">of the </w:t>
      </w:r>
      <w:r w:rsidR="00355E07" w:rsidRPr="001D5AE2">
        <w:rPr>
          <w:rFonts w:ascii="Tahoma" w:hAnsi="Tahoma" w:cs="Tahoma"/>
          <w:b/>
        </w:rPr>
        <w:t>MTEF, 2024-2026</w:t>
      </w:r>
    </w:p>
    <w:p w14:paraId="30BE8388" w14:textId="2DB83CD6"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 xml:space="preserve">Statutory Allocations – The forecast for the statutory allocation is based on the benchmarked oil price, exchange rate and the oil production Benchmark for the 3 years. Once they are </w:t>
      </w:r>
      <w:r w:rsidR="001068EB" w:rsidRPr="001D5AE2">
        <w:rPr>
          <w:rFonts w:ascii="Tahoma" w:eastAsiaTheme="minorHAnsi" w:hAnsi="Tahoma" w:cs="Tahoma"/>
          <w:bCs/>
          <w:sz w:val="22"/>
          <w:szCs w:val="22"/>
        </w:rPr>
        <w:t>actualized</w:t>
      </w:r>
      <w:r w:rsidRPr="001D5AE2">
        <w:rPr>
          <w:rFonts w:ascii="Tahoma" w:eastAsiaTheme="minorHAnsi" w:hAnsi="Tahoma" w:cs="Tahoma"/>
          <w:bCs/>
          <w:sz w:val="22"/>
          <w:szCs w:val="22"/>
        </w:rPr>
        <w:t xml:space="preserve"> coupled with the subsidy removal, the State can receive the </w:t>
      </w:r>
      <w:r w:rsidR="001068EB" w:rsidRPr="001D5AE2">
        <w:rPr>
          <w:rFonts w:ascii="Tahoma" w:eastAsiaTheme="minorHAnsi" w:hAnsi="Tahoma" w:cs="Tahoma"/>
          <w:bCs/>
          <w:sz w:val="22"/>
          <w:szCs w:val="22"/>
        </w:rPr>
        <w:t>forecast</w:t>
      </w:r>
      <w:r w:rsidRPr="001D5AE2">
        <w:rPr>
          <w:rFonts w:ascii="Tahoma" w:eastAsiaTheme="minorHAnsi" w:hAnsi="Tahoma" w:cs="Tahoma"/>
          <w:bCs/>
          <w:sz w:val="22"/>
          <w:szCs w:val="22"/>
        </w:rPr>
        <w:t xml:space="preserve"> figures for cash allocation. It is based on historical mineral revenue flows and elasticity-based forecast was used.</w:t>
      </w:r>
    </w:p>
    <w:p w14:paraId="17C8C5A9"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Other Federation Account receipts – the estimation is based on the historical trend (i.e. from 2017- 2022). The State is developing its mineral sector and is expected to receive more funds from derivation and other sources of funds.</w:t>
      </w:r>
    </w:p>
    <w:p w14:paraId="0C53A24A"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Value Added Tax (VAT) – elasticity based on the past performance is used to forecast VAT for 2024-2026. This forecast should be revisited if there are any changes to the VAT rates.</w:t>
      </w:r>
    </w:p>
    <w:p w14:paraId="7F85A5B4"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Internally Generated Revenue (IGR) – the current administration is improving on the ongoing measures to grow IGR. These measures have started yielding results as actual IGR for the current year is increasing. It is anticipated that IGR will continue to increase by 30% in the current year and start to stabilize from 2024 with a minimum annual growth of 30%. Own Percentage is therefore used to forecast IGR for 2024 – 2026.</w:t>
      </w:r>
    </w:p>
    <w:p w14:paraId="4532ECC4"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lastRenderedPageBreak/>
        <w:t>Grants – The internal grants are based on the actual receipts for 2023 and performance from 2019 to 2023. External grants are based on signed grant agreements with the development partners.</w:t>
      </w:r>
    </w:p>
    <w:p w14:paraId="4DB1F724"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Other Non-Debt Creating Capital Receipts - Sale of Govt Assets and Other Non-Debt creating Capital receipts are based on the actual receipts from 2019 to 2023. 36,700.0</w:t>
      </w:r>
    </w:p>
    <w:p w14:paraId="3F62F50C"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 xml:space="preserve">Financing – Financing – Kebbi State intends to secure an external loan/borrowing of about US$5.1 million in 2024 out of the N36,700 million for 2024 proposed financing needs. All internal and external loans are projections based on signed agreements. </w:t>
      </w:r>
    </w:p>
    <w:p w14:paraId="525FA673"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Personnel –It is anticipated that there will be a new minimum wage before the end of 2023 to cushion the effect of the subsidy removal and naira devaluation which will impact on the wage bill from the fourth quarter of 2023. The projection is that total wage bill will increase by 10% in 2023, with a gradual increase of 15%, 18% and 22% over the 2024 – 2026 fiscal years.</w:t>
      </w:r>
    </w:p>
    <w:p w14:paraId="3A81627E" w14:textId="10D42019"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Overheads – Overhead has been relatively stable between 2017 and 2021 before the sharp increase in 2022. It is anticipated that it will increase further by 10% at the end of 2023. Consequently, own percentage method is used to forecast overhead for 2024, 2025 and 2026 (5%, 3% and 3% respectively). Social Contribution and Social Benefits – A substantial amount is being owed as pension and gratuity payment. It is appropriate to make adequate provision for these items and other social commitments. Hence, the own value, representing computation for outstanding commitments as well as estimation for next medium term is used.</w:t>
      </w:r>
    </w:p>
    <w:p w14:paraId="10AC5803"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Public Debt Service - is based on the projected principal and interest repayments for 2024, 2025 and 2026.</w:t>
      </w:r>
    </w:p>
    <w:p w14:paraId="3EB93592" w14:textId="77777777" w:rsidR="001368A7"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Other Recurrent Expenditure (excluding Personnel Costs, Overhead Costs and Interest Payments) - Special programme is expected to increase marginally on the actual performance level of 2022. This trend is expected in the period of forecast and have been incorporated in the basis of the forecast for 2024 – 2026</w:t>
      </w:r>
    </w:p>
    <w:p w14:paraId="78C6F3E0" w14:textId="6248EAA5" w:rsidR="003477AF" w:rsidRPr="001D5AE2" w:rsidRDefault="001368A7" w:rsidP="00355E07">
      <w:pPr>
        <w:pStyle w:val="ListParagraph"/>
        <w:numPr>
          <w:ilvl w:val="0"/>
          <w:numId w:val="46"/>
        </w:numPr>
        <w:spacing w:after="0" w:line="360" w:lineRule="auto"/>
        <w:ind w:left="360"/>
        <w:jc w:val="both"/>
        <w:rPr>
          <w:rFonts w:ascii="Tahoma" w:eastAsiaTheme="minorHAnsi" w:hAnsi="Tahoma" w:cs="Tahoma"/>
          <w:bCs/>
          <w:sz w:val="22"/>
          <w:szCs w:val="22"/>
        </w:rPr>
      </w:pPr>
      <w:r w:rsidRPr="001D5AE2">
        <w:rPr>
          <w:rFonts w:ascii="Tahoma" w:eastAsiaTheme="minorHAnsi" w:hAnsi="Tahoma" w:cs="Tahoma"/>
          <w:bCs/>
          <w:sz w:val="22"/>
          <w:szCs w:val="22"/>
        </w:rPr>
        <w:t>Capital Expenditure – is based on the balance from the recurrent account plus capital receipts, less contingency reserve as outlined above.</w:t>
      </w:r>
    </w:p>
    <w:p w14:paraId="666EE01A" w14:textId="77777777" w:rsidR="003477AF" w:rsidRPr="001D5AE2" w:rsidRDefault="003477AF" w:rsidP="00355E07">
      <w:pPr>
        <w:spacing w:after="0" w:line="360" w:lineRule="auto"/>
        <w:jc w:val="both"/>
        <w:rPr>
          <w:rFonts w:ascii="Tahoma" w:hAnsi="Tahoma" w:cs="Tahoma"/>
          <w:bCs/>
        </w:rPr>
      </w:pPr>
    </w:p>
    <w:p w14:paraId="231B4014" w14:textId="13855CF8" w:rsidR="00A410E0" w:rsidRPr="001D5AE2" w:rsidRDefault="00E62A9B" w:rsidP="00355E07">
      <w:pPr>
        <w:spacing w:line="360" w:lineRule="auto"/>
        <w:jc w:val="both"/>
        <w:rPr>
          <w:rFonts w:ascii="Tahoma" w:hAnsi="Tahoma" w:cs="Tahoma"/>
          <w:bCs/>
        </w:rPr>
      </w:pPr>
      <w:r w:rsidRPr="001D5AE2">
        <w:rPr>
          <w:rFonts w:ascii="Tahoma" w:hAnsi="Tahoma" w:cs="Tahoma"/>
          <w:bCs/>
        </w:rPr>
        <w:lastRenderedPageBreak/>
        <w:t>The macro</w:t>
      </w:r>
      <w:r w:rsidR="00C677A4" w:rsidRPr="001D5AE2">
        <w:rPr>
          <w:rFonts w:ascii="Tahoma" w:hAnsi="Tahoma" w:cs="Tahoma"/>
          <w:bCs/>
        </w:rPr>
        <w:t xml:space="preserve">economic assumption </w:t>
      </w:r>
      <w:r w:rsidR="00544185" w:rsidRPr="001D5AE2">
        <w:rPr>
          <w:rFonts w:ascii="Tahoma" w:hAnsi="Tahoma" w:cs="Tahoma"/>
          <w:bCs/>
        </w:rPr>
        <w:t xml:space="preserve">was in line with the </w:t>
      </w:r>
      <w:r w:rsidR="005A0D0C" w:rsidRPr="001D5AE2">
        <w:rPr>
          <w:rFonts w:ascii="Tahoma" w:hAnsi="Tahoma" w:cs="Tahoma"/>
          <w:bCs/>
        </w:rPr>
        <w:t>National Macroeconomic Assumption</w:t>
      </w:r>
      <w:r w:rsidR="00A0312C" w:rsidRPr="001D5AE2">
        <w:rPr>
          <w:rFonts w:ascii="Tahoma" w:hAnsi="Tahoma" w:cs="Tahoma"/>
          <w:bCs/>
        </w:rPr>
        <w:t xml:space="preserve">, which estimated the national inflation at </w:t>
      </w:r>
      <w:r w:rsidR="00544185" w:rsidRPr="001D5AE2">
        <w:rPr>
          <w:rFonts w:ascii="Tahoma" w:hAnsi="Tahoma" w:cs="Tahoma"/>
          <w:bCs/>
        </w:rPr>
        <w:t>20.00</w:t>
      </w:r>
      <w:r w:rsidR="004014D9" w:rsidRPr="001D5AE2">
        <w:rPr>
          <w:rFonts w:ascii="Tahoma" w:hAnsi="Tahoma" w:cs="Tahoma"/>
          <w:bCs/>
        </w:rPr>
        <w:t xml:space="preserve"> percent</w:t>
      </w:r>
      <w:r w:rsidR="00A0312C" w:rsidRPr="001D5AE2">
        <w:rPr>
          <w:rFonts w:ascii="Tahoma" w:hAnsi="Tahoma" w:cs="Tahoma"/>
          <w:bCs/>
        </w:rPr>
        <w:t xml:space="preserve">, </w:t>
      </w:r>
      <w:r w:rsidR="00544185" w:rsidRPr="001D5AE2">
        <w:rPr>
          <w:rFonts w:ascii="Tahoma" w:hAnsi="Tahoma" w:cs="Tahoma"/>
          <w:bCs/>
        </w:rPr>
        <w:t>15.50</w:t>
      </w:r>
      <w:r w:rsidR="004014D9" w:rsidRPr="001D5AE2">
        <w:rPr>
          <w:rFonts w:ascii="Tahoma" w:hAnsi="Tahoma" w:cs="Tahoma"/>
          <w:bCs/>
        </w:rPr>
        <w:t xml:space="preserve"> percent and 1</w:t>
      </w:r>
      <w:r w:rsidR="00544185" w:rsidRPr="001D5AE2">
        <w:rPr>
          <w:rFonts w:ascii="Tahoma" w:hAnsi="Tahoma" w:cs="Tahoma"/>
          <w:bCs/>
        </w:rPr>
        <w:t>5.20</w:t>
      </w:r>
      <w:r w:rsidR="004014D9" w:rsidRPr="001D5AE2">
        <w:rPr>
          <w:rFonts w:ascii="Tahoma" w:hAnsi="Tahoma" w:cs="Tahoma"/>
          <w:bCs/>
        </w:rPr>
        <w:t xml:space="preserve"> percent, </w:t>
      </w:r>
      <w:r w:rsidR="00A047B7" w:rsidRPr="001D5AE2">
        <w:rPr>
          <w:rFonts w:ascii="Tahoma" w:hAnsi="Tahoma" w:cs="Tahoma"/>
          <w:bCs/>
        </w:rPr>
        <w:t>the n</w:t>
      </w:r>
      <w:r w:rsidR="00544185" w:rsidRPr="001D5AE2">
        <w:rPr>
          <w:rFonts w:ascii="Tahoma" w:hAnsi="Tahoma" w:cs="Tahoma"/>
          <w:bCs/>
        </w:rPr>
        <w:t>ational Real GDP Growth</w:t>
      </w:r>
      <w:r w:rsidR="00A047B7" w:rsidRPr="001D5AE2">
        <w:rPr>
          <w:rFonts w:ascii="Tahoma" w:hAnsi="Tahoma" w:cs="Tahoma"/>
          <w:bCs/>
        </w:rPr>
        <w:t xml:space="preserve"> projected at </w:t>
      </w:r>
      <w:r w:rsidR="00544185" w:rsidRPr="001D5AE2">
        <w:rPr>
          <w:rFonts w:ascii="Tahoma" w:hAnsi="Tahoma" w:cs="Tahoma"/>
          <w:bCs/>
        </w:rPr>
        <w:t>3.00</w:t>
      </w:r>
      <w:r w:rsidR="00A047B7" w:rsidRPr="001D5AE2">
        <w:rPr>
          <w:rFonts w:ascii="Tahoma" w:hAnsi="Tahoma" w:cs="Tahoma"/>
          <w:bCs/>
        </w:rPr>
        <w:t xml:space="preserve"> percent, </w:t>
      </w:r>
      <w:r w:rsidR="00544185" w:rsidRPr="001D5AE2">
        <w:rPr>
          <w:rFonts w:ascii="Tahoma" w:hAnsi="Tahoma" w:cs="Tahoma"/>
          <w:bCs/>
        </w:rPr>
        <w:t>3.00</w:t>
      </w:r>
      <w:r w:rsidR="00A047B7" w:rsidRPr="001D5AE2">
        <w:rPr>
          <w:rFonts w:ascii="Tahoma" w:hAnsi="Tahoma" w:cs="Tahoma"/>
          <w:bCs/>
        </w:rPr>
        <w:t xml:space="preserve"> percent and </w:t>
      </w:r>
      <w:r w:rsidR="00544185" w:rsidRPr="001D5AE2">
        <w:rPr>
          <w:rFonts w:ascii="Tahoma" w:hAnsi="Tahoma" w:cs="Tahoma"/>
          <w:bCs/>
        </w:rPr>
        <w:t>3.00</w:t>
      </w:r>
      <w:r w:rsidR="00073D56" w:rsidRPr="001D5AE2">
        <w:rPr>
          <w:rFonts w:ascii="Tahoma" w:hAnsi="Tahoma" w:cs="Tahoma"/>
          <w:bCs/>
        </w:rPr>
        <w:t xml:space="preserve"> percent, the </w:t>
      </w:r>
      <w:r w:rsidR="00544185" w:rsidRPr="001D5AE2">
        <w:rPr>
          <w:rFonts w:ascii="Tahoma" w:hAnsi="Tahoma" w:cs="Tahoma"/>
          <w:bCs/>
        </w:rPr>
        <w:t xml:space="preserve">Oil Production Volume </w:t>
      </w:r>
      <w:r w:rsidR="008924A4" w:rsidRPr="001D5AE2">
        <w:rPr>
          <w:rFonts w:ascii="Tahoma" w:hAnsi="Tahoma" w:cs="Tahoma"/>
          <w:bCs/>
        </w:rPr>
        <w:t xml:space="preserve">projected at </w:t>
      </w:r>
      <w:r w:rsidR="00544185" w:rsidRPr="001D5AE2">
        <w:rPr>
          <w:rFonts w:ascii="Tahoma" w:hAnsi="Tahoma" w:cs="Tahoma"/>
          <w:bCs/>
        </w:rPr>
        <w:t>1.6</w:t>
      </w:r>
      <w:r w:rsidR="00F03944" w:rsidRPr="001D5AE2">
        <w:rPr>
          <w:rFonts w:ascii="Tahoma" w:hAnsi="Tahoma" w:cs="Tahoma"/>
          <w:bCs/>
        </w:rPr>
        <w:t xml:space="preserve"> mbpd</w:t>
      </w:r>
      <w:r w:rsidR="008924A4" w:rsidRPr="001D5AE2">
        <w:rPr>
          <w:rFonts w:ascii="Tahoma" w:hAnsi="Tahoma" w:cs="Tahoma"/>
          <w:bCs/>
        </w:rPr>
        <w:t xml:space="preserve">, </w:t>
      </w:r>
      <w:r w:rsidR="00544185" w:rsidRPr="001D5AE2">
        <w:rPr>
          <w:rFonts w:ascii="Tahoma" w:hAnsi="Tahoma" w:cs="Tahoma"/>
          <w:bCs/>
        </w:rPr>
        <w:t>1.7</w:t>
      </w:r>
      <w:r w:rsidR="00F03944" w:rsidRPr="001D5AE2">
        <w:rPr>
          <w:rFonts w:ascii="Tahoma" w:hAnsi="Tahoma" w:cs="Tahoma"/>
          <w:bCs/>
        </w:rPr>
        <w:t xml:space="preserve"> mbpd</w:t>
      </w:r>
      <w:r w:rsidR="008924A4" w:rsidRPr="001D5AE2">
        <w:rPr>
          <w:rFonts w:ascii="Tahoma" w:hAnsi="Tahoma" w:cs="Tahoma"/>
          <w:bCs/>
        </w:rPr>
        <w:t xml:space="preserve">, and </w:t>
      </w:r>
      <w:r w:rsidR="00544185" w:rsidRPr="001D5AE2">
        <w:rPr>
          <w:rFonts w:ascii="Tahoma" w:hAnsi="Tahoma" w:cs="Tahoma"/>
          <w:bCs/>
        </w:rPr>
        <w:t>1.8</w:t>
      </w:r>
      <w:r w:rsidR="00F03944" w:rsidRPr="001D5AE2">
        <w:rPr>
          <w:rFonts w:ascii="Tahoma" w:hAnsi="Tahoma" w:cs="Tahoma"/>
          <w:bCs/>
        </w:rPr>
        <w:t xml:space="preserve"> mbpd</w:t>
      </w:r>
      <w:r w:rsidR="008924A4" w:rsidRPr="001D5AE2">
        <w:rPr>
          <w:rFonts w:ascii="Tahoma" w:hAnsi="Tahoma" w:cs="Tahoma"/>
          <w:bCs/>
        </w:rPr>
        <w:t>,</w:t>
      </w:r>
      <w:r w:rsidR="00521028" w:rsidRPr="001D5AE2">
        <w:rPr>
          <w:rFonts w:ascii="Tahoma" w:hAnsi="Tahoma" w:cs="Tahoma"/>
          <w:bCs/>
        </w:rPr>
        <w:t xml:space="preserve"> the </w:t>
      </w:r>
      <w:r w:rsidR="00544185" w:rsidRPr="001D5AE2">
        <w:rPr>
          <w:rFonts w:ascii="Tahoma" w:hAnsi="Tahoma" w:cs="Tahoma"/>
          <w:bCs/>
        </w:rPr>
        <w:t>Oil Price Benchmark</w:t>
      </w:r>
      <w:r w:rsidR="00521028" w:rsidRPr="001D5AE2">
        <w:rPr>
          <w:rFonts w:ascii="Tahoma" w:hAnsi="Tahoma" w:cs="Tahoma"/>
          <w:bCs/>
        </w:rPr>
        <w:t xml:space="preserve"> </w:t>
      </w:r>
      <w:r w:rsidR="00793FA1" w:rsidRPr="001D5AE2">
        <w:rPr>
          <w:rFonts w:ascii="Tahoma" w:hAnsi="Tahoma" w:cs="Tahoma"/>
          <w:bCs/>
        </w:rPr>
        <w:t xml:space="preserve">estimated </w:t>
      </w:r>
      <w:r w:rsidR="006A3654" w:rsidRPr="001D5AE2">
        <w:rPr>
          <w:rFonts w:ascii="Tahoma" w:hAnsi="Tahoma" w:cs="Tahoma"/>
          <w:bCs/>
        </w:rPr>
        <w:t xml:space="preserve">per barrel </w:t>
      </w:r>
      <w:r w:rsidR="00793FA1" w:rsidRPr="001D5AE2">
        <w:rPr>
          <w:rFonts w:ascii="Tahoma" w:hAnsi="Tahoma" w:cs="Tahoma"/>
          <w:bCs/>
        </w:rPr>
        <w:t xml:space="preserve">at </w:t>
      </w:r>
      <w:r w:rsidR="00521028" w:rsidRPr="001D5AE2">
        <w:rPr>
          <w:rFonts w:ascii="Tahoma" w:hAnsi="Tahoma" w:cs="Tahoma"/>
          <w:bCs/>
        </w:rPr>
        <w:t>$</w:t>
      </w:r>
      <w:r w:rsidR="00544185" w:rsidRPr="001D5AE2">
        <w:rPr>
          <w:rFonts w:ascii="Tahoma" w:hAnsi="Tahoma" w:cs="Tahoma"/>
          <w:bCs/>
        </w:rPr>
        <w:t>65</w:t>
      </w:r>
      <w:r w:rsidR="006A3654" w:rsidRPr="001D5AE2">
        <w:rPr>
          <w:rFonts w:ascii="Tahoma" w:hAnsi="Tahoma" w:cs="Tahoma"/>
          <w:bCs/>
        </w:rPr>
        <w:t xml:space="preserve">, </w:t>
      </w:r>
      <w:r w:rsidR="00521028" w:rsidRPr="001D5AE2">
        <w:rPr>
          <w:rFonts w:ascii="Tahoma" w:hAnsi="Tahoma" w:cs="Tahoma"/>
          <w:bCs/>
        </w:rPr>
        <w:t>$</w:t>
      </w:r>
      <w:r w:rsidR="00544185" w:rsidRPr="001D5AE2">
        <w:rPr>
          <w:rFonts w:ascii="Tahoma" w:hAnsi="Tahoma" w:cs="Tahoma"/>
          <w:bCs/>
        </w:rPr>
        <w:t>65</w:t>
      </w:r>
      <w:r w:rsidR="006A3654" w:rsidRPr="001D5AE2">
        <w:rPr>
          <w:rFonts w:ascii="Tahoma" w:hAnsi="Tahoma" w:cs="Tahoma"/>
          <w:bCs/>
        </w:rPr>
        <w:t xml:space="preserve"> and </w:t>
      </w:r>
      <w:r w:rsidR="00521028" w:rsidRPr="001D5AE2">
        <w:rPr>
          <w:rFonts w:ascii="Tahoma" w:hAnsi="Tahoma" w:cs="Tahoma"/>
          <w:bCs/>
        </w:rPr>
        <w:t>$</w:t>
      </w:r>
      <w:r w:rsidR="00544185" w:rsidRPr="001D5AE2">
        <w:rPr>
          <w:rFonts w:ascii="Tahoma" w:hAnsi="Tahoma" w:cs="Tahoma"/>
          <w:bCs/>
        </w:rPr>
        <w:t>65</w:t>
      </w:r>
      <w:r w:rsidR="006A3654" w:rsidRPr="001D5AE2">
        <w:rPr>
          <w:rFonts w:ascii="Tahoma" w:hAnsi="Tahoma" w:cs="Tahoma"/>
          <w:bCs/>
        </w:rPr>
        <w:t xml:space="preserve"> and the </w:t>
      </w:r>
      <w:r w:rsidR="00B354CC" w:rsidRPr="001D5AE2">
        <w:rPr>
          <w:rFonts w:ascii="Tahoma" w:hAnsi="Tahoma" w:cs="Tahoma"/>
          <w:bCs/>
        </w:rPr>
        <w:t>a</w:t>
      </w:r>
      <w:r w:rsidR="00544185" w:rsidRPr="001D5AE2">
        <w:rPr>
          <w:rFonts w:ascii="Tahoma" w:hAnsi="Tahoma" w:cs="Tahoma"/>
          <w:bCs/>
        </w:rPr>
        <w:t xml:space="preserve">verage Exchange Rate </w:t>
      </w:r>
      <w:r w:rsidR="00A334F0" w:rsidRPr="001D5AE2">
        <w:rPr>
          <w:rFonts w:ascii="Tahoma" w:hAnsi="Tahoma" w:cs="Tahoma"/>
          <w:bCs/>
        </w:rPr>
        <w:t xml:space="preserve">for US$ </w:t>
      </w:r>
      <w:r w:rsidR="004232A7" w:rsidRPr="001D5AE2">
        <w:rPr>
          <w:rFonts w:ascii="Tahoma" w:hAnsi="Tahoma" w:cs="Tahoma"/>
          <w:bCs/>
        </w:rPr>
        <w:t xml:space="preserve">was </w:t>
      </w:r>
      <w:r w:rsidR="00B354CC" w:rsidRPr="001D5AE2">
        <w:rPr>
          <w:rFonts w:ascii="Tahoma" w:hAnsi="Tahoma" w:cs="Tahoma"/>
          <w:bCs/>
        </w:rPr>
        <w:t>projecte</w:t>
      </w:r>
      <w:r w:rsidR="00A334F0" w:rsidRPr="001D5AE2">
        <w:rPr>
          <w:rFonts w:ascii="Tahoma" w:hAnsi="Tahoma" w:cs="Tahoma"/>
          <w:bCs/>
        </w:rPr>
        <w:t>d at N</w:t>
      </w:r>
      <w:r w:rsidR="00544185" w:rsidRPr="001D5AE2">
        <w:rPr>
          <w:rFonts w:ascii="Tahoma" w:hAnsi="Tahoma" w:cs="Tahoma"/>
          <w:bCs/>
        </w:rPr>
        <w:t>1,300</w:t>
      </w:r>
      <w:r w:rsidR="00A334F0" w:rsidRPr="001D5AE2">
        <w:rPr>
          <w:rFonts w:ascii="Tahoma" w:hAnsi="Tahoma" w:cs="Tahoma"/>
          <w:bCs/>
        </w:rPr>
        <w:t>, N</w:t>
      </w:r>
      <w:r w:rsidR="00544185" w:rsidRPr="001D5AE2">
        <w:rPr>
          <w:rFonts w:ascii="Tahoma" w:hAnsi="Tahoma" w:cs="Tahoma"/>
          <w:bCs/>
        </w:rPr>
        <w:t>1,200</w:t>
      </w:r>
      <w:r w:rsidR="00A334F0" w:rsidRPr="001D5AE2">
        <w:rPr>
          <w:rFonts w:ascii="Tahoma" w:hAnsi="Tahoma" w:cs="Tahoma"/>
          <w:bCs/>
        </w:rPr>
        <w:t xml:space="preserve"> and N</w:t>
      </w:r>
      <w:r w:rsidR="00544185" w:rsidRPr="001D5AE2">
        <w:rPr>
          <w:rFonts w:ascii="Tahoma" w:hAnsi="Tahoma" w:cs="Tahoma"/>
          <w:bCs/>
        </w:rPr>
        <w:t>1,100</w:t>
      </w:r>
      <w:r w:rsidR="004232A7" w:rsidRPr="001D5AE2">
        <w:rPr>
          <w:rFonts w:ascii="Tahoma" w:hAnsi="Tahoma" w:cs="Tahoma"/>
          <w:bCs/>
        </w:rPr>
        <w:t xml:space="preserve"> in the 2024, 2025 and 2026 respectively</w:t>
      </w:r>
      <w:r w:rsidR="00F646A3" w:rsidRPr="001D5AE2">
        <w:rPr>
          <w:rFonts w:ascii="Tahoma" w:hAnsi="Tahoma" w:cs="Tahoma"/>
          <w:bCs/>
        </w:rPr>
        <w:t>.</w:t>
      </w:r>
    </w:p>
    <w:p w14:paraId="62C1D101" w14:textId="0007E755" w:rsidR="00AD1FD6" w:rsidRPr="001D5AE2" w:rsidRDefault="00C34896" w:rsidP="00355E07">
      <w:pPr>
        <w:spacing w:line="360" w:lineRule="auto"/>
        <w:jc w:val="both"/>
        <w:rPr>
          <w:rFonts w:ascii="Tahoma" w:hAnsi="Tahoma" w:cs="Tahoma"/>
          <w:bCs/>
        </w:rPr>
      </w:pPr>
      <w:r w:rsidRPr="001D5AE2">
        <w:rPr>
          <w:rFonts w:ascii="Tahoma" w:hAnsi="Tahoma" w:cs="Tahoma"/>
          <w:bCs/>
        </w:rPr>
        <w:t xml:space="preserve">The MTEF 2024-2026 projected the </w:t>
      </w:r>
      <w:r w:rsidR="00212560" w:rsidRPr="001D5AE2">
        <w:rPr>
          <w:rFonts w:ascii="Tahoma" w:hAnsi="Tahoma" w:cs="Tahoma"/>
          <w:bCs/>
        </w:rPr>
        <w:t xml:space="preserve">total revenue at N195,107.15 </w:t>
      </w:r>
      <w:r w:rsidR="00A93659" w:rsidRPr="001D5AE2">
        <w:rPr>
          <w:rFonts w:ascii="Tahoma" w:hAnsi="Tahoma" w:cs="Tahoma"/>
          <w:bCs/>
        </w:rPr>
        <w:t xml:space="preserve">million </w:t>
      </w:r>
      <w:r w:rsidR="00212560" w:rsidRPr="001D5AE2">
        <w:rPr>
          <w:rFonts w:ascii="Tahoma" w:hAnsi="Tahoma" w:cs="Tahoma"/>
          <w:bCs/>
        </w:rPr>
        <w:t xml:space="preserve">in 2024, </w:t>
      </w:r>
      <w:r w:rsidR="00A93659" w:rsidRPr="001D5AE2">
        <w:rPr>
          <w:rFonts w:ascii="Tahoma" w:hAnsi="Tahoma" w:cs="Tahoma"/>
          <w:bCs/>
        </w:rPr>
        <w:t>N</w:t>
      </w:r>
      <w:r w:rsidR="00212560" w:rsidRPr="001D5AE2">
        <w:rPr>
          <w:rFonts w:ascii="Tahoma" w:hAnsi="Tahoma" w:cs="Tahoma"/>
          <w:bCs/>
        </w:rPr>
        <w:t>194,477.73</w:t>
      </w:r>
      <w:r w:rsidR="00A93659" w:rsidRPr="001D5AE2">
        <w:rPr>
          <w:rFonts w:ascii="Tahoma" w:hAnsi="Tahoma" w:cs="Tahoma"/>
          <w:bCs/>
        </w:rPr>
        <w:t xml:space="preserve"> million in 2025 and N</w:t>
      </w:r>
      <w:r w:rsidR="00212560" w:rsidRPr="001D5AE2">
        <w:rPr>
          <w:rFonts w:ascii="Tahoma" w:hAnsi="Tahoma" w:cs="Tahoma"/>
          <w:bCs/>
        </w:rPr>
        <w:t>231,190.82</w:t>
      </w:r>
      <w:r w:rsidR="00A93659" w:rsidRPr="001D5AE2">
        <w:rPr>
          <w:rFonts w:ascii="Tahoma" w:hAnsi="Tahoma" w:cs="Tahoma"/>
          <w:bCs/>
        </w:rPr>
        <w:t xml:space="preserve"> in 2026</w:t>
      </w:r>
      <w:r w:rsidR="00226F91" w:rsidRPr="001D5AE2">
        <w:rPr>
          <w:rFonts w:ascii="Tahoma" w:hAnsi="Tahoma" w:cs="Tahoma"/>
          <w:bCs/>
        </w:rPr>
        <w:t>, which comprises the g</w:t>
      </w:r>
      <w:r w:rsidR="009D55B8" w:rsidRPr="001D5AE2">
        <w:rPr>
          <w:rFonts w:ascii="Tahoma" w:hAnsi="Tahoma" w:cs="Tahoma"/>
          <w:bCs/>
        </w:rPr>
        <w:t>ross Statutory Allocation</w:t>
      </w:r>
      <w:r w:rsidR="00226F91" w:rsidRPr="001D5AE2">
        <w:rPr>
          <w:rFonts w:ascii="Tahoma" w:hAnsi="Tahoma" w:cs="Tahoma"/>
          <w:bCs/>
        </w:rPr>
        <w:t xml:space="preserve"> of N</w:t>
      </w:r>
      <w:r w:rsidR="009D55B8" w:rsidRPr="001D5AE2">
        <w:rPr>
          <w:rFonts w:ascii="Tahoma" w:hAnsi="Tahoma" w:cs="Tahoma"/>
          <w:bCs/>
        </w:rPr>
        <w:t>79,254.27</w:t>
      </w:r>
      <w:r w:rsidR="00226F91" w:rsidRPr="001D5AE2">
        <w:rPr>
          <w:rFonts w:ascii="Tahoma" w:hAnsi="Tahoma" w:cs="Tahoma"/>
          <w:bCs/>
        </w:rPr>
        <w:t xml:space="preserve"> million, N</w:t>
      </w:r>
      <w:r w:rsidR="009D55B8" w:rsidRPr="001D5AE2">
        <w:rPr>
          <w:rFonts w:ascii="Tahoma" w:hAnsi="Tahoma" w:cs="Tahoma"/>
          <w:bCs/>
        </w:rPr>
        <w:t>92,131.59</w:t>
      </w:r>
      <w:r w:rsidR="00226F91" w:rsidRPr="001D5AE2">
        <w:rPr>
          <w:rFonts w:ascii="Tahoma" w:hAnsi="Tahoma" w:cs="Tahoma"/>
          <w:bCs/>
        </w:rPr>
        <w:t xml:space="preserve"> million and N</w:t>
      </w:r>
      <w:r w:rsidR="009D55B8" w:rsidRPr="001D5AE2">
        <w:rPr>
          <w:rFonts w:ascii="Tahoma" w:hAnsi="Tahoma" w:cs="Tahoma"/>
          <w:bCs/>
        </w:rPr>
        <w:t>105,980.20</w:t>
      </w:r>
      <w:r w:rsidR="00226F91" w:rsidRPr="001D5AE2">
        <w:rPr>
          <w:rFonts w:ascii="Tahoma" w:hAnsi="Tahoma" w:cs="Tahoma"/>
          <w:bCs/>
        </w:rPr>
        <w:t xml:space="preserve"> </w:t>
      </w:r>
      <w:r w:rsidR="00617F9E" w:rsidRPr="001D5AE2">
        <w:rPr>
          <w:rFonts w:ascii="Tahoma" w:hAnsi="Tahoma" w:cs="Tahoma"/>
          <w:bCs/>
        </w:rPr>
        <w:t>million, o</w:t>
      </w:r>
      <w:r w:rsidR="009D55B8" w:rsidRPr="001D5AE2">
        <w:rPr>
          <w:rFonts w:ascii="Tahoma" w:hAnsi="Tahoma" w:cs="Tahoma"/>
          <w:bCs/>
        </w:rPr>
        <w:t>ther FAAC transfers</w:t>
      </w:r>
      <w:r w:rsidR="009D55B8" w:rsidRPr="001D5AE2">
        <w:rPr>
          <w:rFonts w:ascii="Tahoma" w:hAnsi="Tahoma" w:cs="Tahoma"/>
          <w:bCs/>
        </w:rPr>
        <w:tab/>
      </w:r>
      <w:r w:rsidR="00617F9E" w:rsidRPr="001D5AE2">
        <w:rPr>
          <w:rFonts w:ascii="Tahoma" w:hAnsi="Tahoma" w:cs="Tahoma"/>
          <w:bCs/>
        </w:rPr>
        <w:t>are N</w:t>
      </w:r>
      <w:r w:rsidR="009D55B8" w:rsidRPr="001D5AE2">
        <w:rPr>
          <w:rFonts w:ascii="Tahoma" w:hAnsi="Tahoma" w:cs="Tahoma"/>
          <w:bCs/>
        </w:rPr>
        <w:t>24,104.99</w:t>
      </w:r>
      <w:r w:rsidR="00617F9E" w:rsidRPr="001D5AE2">
        <w:rPr>
          <w:rFonts w:ascii="Tahoma" w:hAnsi="Tahoma" w:cs="Tahoma"/>
          <w:bCs/>
        </w:rPr>
        <w:t xml:space="preserve"> million, N</w:t>
      </w:r>
      <w:r w:rsidR="009D55B8" w:rsidRPr="001D5AE2">
        <w:rPr>
          <w:rFonts w:ascii="Tahoma" w:hAnsi="Tahoma" w:cs="Tahoma"/>
          <w:bCs/>
        </w:rPr>
        <w:t>1,120.38</w:t>
      </w:r>
      <w:r w:rsidR="00617F9E" w:rsidRPr="001D5AE2">
        <w:rPr>
          <w:rFonts w:ascii="Tahoma" w:hAnsi="Tahoma" w:cs="Tahoma"/>
          <w:bCs/>
        </w:rPr>
        <w:t xml:space="preserve"> million and N</w:t>
      </w:r>
      <w:r w:rsidR="009D55B8" w:rsidRPr="001D5AE2">
        <w:rPr>
          <w:rFonts w:ascii="Tahoma" w:hAnsi="Tahoma" w:cs="Tahoma"/>
          <w:bCs/>
        </w:rPr>
        <w:t>1,029.78</w:t>
      </w:r>
      <w:r w:rsidR="00617F9E" w:rsidRPr="001D5AE2">
        <w:rPr>
          <w:rFonts w:ascii="Tahoma" w:hAnsi="Tahoma" w:cs="Tahoma"/>
          <w:bCs/>
        </w:rPr>
        <w:t xml:space="preserve"> million, the </w:t>
      </w:r>
      <w:r w:rsidR="009D55B8" w:rsidRPr="001D5AE2">
        <w:rPr>
          <w:rFonts w:ascii="Tahoma" w:hAnsi="Tahoma" w:cs="Tahoma"/>
          <w:bCs/>
        </w:rPr>
        <w:t>VAT Allocation</w:t>
      </w:r>
      <w:r w:rsidR="00A767A0" w:rsidRPr="001D5AE2">
        <w:rPr>
          <w:rFonts w:ascii="Tahoma" w:hAnsi="Tahoma" w:cs="Tahoma"/>
          <w:bCs/>
        </w:rPr>
        <w:t xml:space="preserve"> are estimated at N</w:t>
      </w:r>
      <w:r w:rsidR="009D55B8" w:rsidRPr="001D5AE2">
        <w:rPr>
          <w:rFonts w:ascii="Tahoma" w:hAnsi="Tahoma" w:cs="Tahoma"/>
          <w:bCs/>
        </w:rPr>
        <w:t>41,660.06</w:t>
      </w:r>
      <w:r w:rsidR="00A767A0" w:rsidRPr="001D5AE2">
        <w:rPr>
          <w:rFonts w:ascii="Tahoma" w:hAnsi="Tahoma" w:cs="Tahoma"/>
          <w:bCs/>
        </w:rPr>
        <w:t xml:space="preserve"> million, N</w:t>
      </w:r>
      <w:r w:rsidR="009D55B8" w:rsidRPr="001D5AE2">
        <w:rPr>
          <w:rFonts w:ascii="Tahoma" w:hAnsi="Tahoma" w:cs="Tahoma"/>
          <w:bCs/>
        </w:rPr>
        <w:t>56,031.70</w:t>
      </w:r>
      <w:r w:rsidR="00A767A0" w:rsidRPr="001D5AE2">
        <w:rPr>
          <w:rFonts w:ascii="Tahoma" w:hAnsi="Tahoma" w:cs="Tahoma"/>
          <w:bCs/>
        </w:rPr>
        <w:t xml:space="preserve"> million, and N</w:t>
      </w:r>
      <w:r w:rsidR="009D55B8" w:rsidRPr="001D5AE2">
        <w:rPr>
          <w:rFonts w:ascii="Tahoma" w:hAnsi="Tahoma" w:cs="Tahoma"/>
          <w:bCs/>
        </w:rPr>
        <w:t>72,429.64</w:t>
      </w:r>
      <w:r w:rsidR="00D247A8" w:rsidRPr="001D5AE2">
        <w:rPr>
          <w:rFonts w:ascii="Tahoma" w:hAnsi="Tahoma" w:cs="Tahoma"/>
          <w:bCs/>
        </w:rPr>
        <w:t xml:space="preserve"> million, as the </w:t>
      </w:r>
      <w:r w:rsidR="009D55B8" w:rsidRPr="001D5AE2">
        <w:rPr>
          <w:rFonts w:ascii="Tahoma" w:hAnsi="Tahoma" w:cs="Tahoma"/>
          <w:bCs/>
        </w:rPr>
        <w:t>IGR</w:t>
      </w:r>
      <w:r w:rsidR="00D247A8" w:rsidRPr="001D5AE2">
        <w:rPr>
          <w:rFonts w:ascii="Tahoma" w:hAnsi="Tahoma" w:cs="Tahoma"/>
          <w:bCs/>
        </w:rPr>
        <w:t xml:space="preserve"> projected at </w:t>
      </w:r>
      <w:r w:rsidR="006859EA" w:rsidRPr="001D5AE2">
        <w:rPr>
          <w:rFonts w:ascii="Tahoma" w:hAnsi="Tahoma" w:cs="Tahoma"/>
          <w:bCs/>
        </w:rPr>
        <w:t>N</w:t>
      </w:r>
      <w:r w:rsidR="009D55B8" w:rsidRPr="001D5AE2">
        <w:rPr>
          <w:rFonts w:ascii="Tahoma" w:hAnsi="Tahoma" w:cs="Tahoma"/>
          <w:bCs/>
        </w:rPr>
        <w:t>17,887.34</w:t>
      </w:r>
      <w:r w:rsidR="006859EA" w:rsidRPr="001D5AE2">
        <w:rPr>
          <w:rFonts w:ascii="Tahoma" w:hAnsi="Tahoma" w:cs="Tahoma"/>
          <w:bCs/>
        </w:rPr>
        <w:t xml:space="preserve"> million, N</w:t>
      </w:r>
      <w:r w:rsidR="009D55B8" w:rsidRPr="001D5AE2">
        <w:rPr>
          <w:rFonts w:ascii="Tahoma" w:hAnsi="Tahoma" w:cs="Tahoma"/>
          <w:bCs/>
        </w:rPr>
        <w:t>19,230.72</w:t>
      </w:r>
      <w:r w:rsidR="006859EA" w:rsidRPr="001D5AE2">
        <w:rPr>
          <w:rFonts w:ascii="Tahoma" w:hAnsi="Tahoma" w:cs="Tahoma"/>
          <w:bCs/>
        </w:rPr>
        <w:t xml:space="preserve"> million and N</w:t>
      </w:r>
      <w:r w:rsidR="009D55B8" w:rsidRPr="001D5AE2">
        <w:rPr>
          <w:rFonts w:ascii="Tahoma" w:hAnsi="Tahoma" w:cs="Tahoma"/>
          <w:bCs/>
        </w:rPr>
        <w:t>24,999.94</w:t>
      </w:r>
      <w:r w:rsidR="006859EA" w:rsidRPr="001D5AE2">
        <w:rPr>
          <w:rFonts w:ascii="Tahoma" w:hAnsi="Tahoma" w:cs="Tahoma"/>
          <w:bCs/>
        </w:rPr>
        <w:t xml:space="preserve"> million</w:t>
      </w:r>
      <w:r w:rsidR="000B6B4E" w:rsidRPr="001D5AE2">
        <w:rPr>
          <w:rFonts w:ascii="Tahoma" w:hAnsi="Tahoma" w:cs="Tahoma"/>
          <w:bCs/>
        </w:rPr>
        <w:t xml:space="preserve">, as well as the expected </w:t>
      </w:r>
      <w:r w:rsidR="009D55B8" w:rsidRPr="001D5AE2">
        <w:rPr>
          <w:rFonts w:ascii="Tahoma" w:hAnsi="Tahoma" w:cs="Tahoma"/>
          <w:bCs/>
        </w:rPr>
        <w:t>Grants</w:t>
      </w:r>
      <w:r w:rsidR="009D55B8" w:rsidRPr="001D5AE2">
        <w:rPr>
          <w:rFonts w:ascii="Tahoma" w:hAnsi="Tahoma" w:cs="Tahoma"/>
          <w:bCs/>
        </w:rPr>
        <w:tab/>
      </w:r>
      <w:r w:rsidR="006B11CA" w:rsidRPr="001D5AE2">
        <w:rPr>
          <w:rFonts w:ascii="Tahoma" w:hAnsi="Tahoma" w:cs="Tahoma"/>
          <w:bCs/>
        </w:rPr>
        <w:t>amounted at N</w:t>
      </w:r>
      <w:r w:rsidR="009D55B8" w:rsidRPr="001D5AE2">
        <w:rPr>
          <w:rFonts w:ascii="Tahoma" w:hAnsi="Tahoma" w:cs="Tahoma"/>
          <w:bCs/>
        </w:rPr>
        <w:t>19,380.38</w:t>
      </w:r>
      <w:r w:rsidR="006B11CA" w:rsidRPr="001D5AE2">
        <w:rPr>
          <w:rFonts w:ascii="Tahoma" w:hAnsi="Tahoma" w:cs="Tahoma"/>
          <w:bCs/>
        </w:rPr>
        <w:t xml:space="preserve"> million, N</w:t>
      </w:r>
      <w:r w:rsidR="009D55B8" w:rsidRPr="001D5AE2">
        <w:rPr>
          <w:rFonts w:ascii="Tahoma" w:hAnsi="Tahoma" w:cs="Tahoma"/>
          <w:bCs/>
        </w:rPr>
        <w:t>25,963.35</w:t>
      </w:r>
      <w:r w:rsidR="006B11CA" w:rsidRPr="001D5AE2">
        <w:rPr>
          <w:rFonts w:ascii="Tahoma" w:hAnsi="Tahoma" w:cs="Tahoma"/>
          <w:bCs/>
        </w:rPr>
        <w:t xml:space="preserve"> million and </w:t>
      </w:r>
      <w:r w:rsidR="008B4106" w:rsidRPr="001D5AE2">
        <w:rPr>
          <w:rFonts w:ascii="Tahoma" w:hAnsi="Tahoma" w:cs="Tahoma"/>
          <w:bCs/>
        </w:rPr>
        <w:t>N</w:t>
      </w:r>
      <w:r w:rsidR="009D55B8" w:rsidRPr="001D5AE2">
        <w:rPr>
          <w:rFonts w:ascii="Tahoma" w:hAnsi="Tahoma" w:cs="Tahoma"/>
          <w:bCs/>
        </w:rPr>
        <w:t>26,751.27</w:t>
      </w:r>
      <w:r w:rsidR="008B4106" w:rsidRPr="001D5AE2">
        <w:rPr>
          <w:rFonts w:ascii="Tahoma" w:hAnsi="Tahoma" w:cs="Tahoma"/>
          <w:bCs/>
        </w:rPr>
        <w:t xml:space="preserve"> million over the projected period of time.</w:t>
      </w:r>
    </w:p>
    <w:p w14:paraId="6CCBF9D8" w14:textId="4E1B6450" w:rsidR="008B4106" w:rsidRPr="001D5AE2" w:rsidRDefault="008B4106" w:rsidP="00873214">
      <w:pPr>
        <w:spacing w:line="360" w:lineRule="auto"/>
        <w:jc w:val="both"/>
        <w:rPr>
          <w:rFonts w:ascii="Tahoma" w:hAnsi="Tahoma" w:cs="Tahoma"/>
          <w:bCs/>
        </w:rPr>
      </w:pPr>
      <w:r w:rsidRPr="001D5AE2">
        <w:rPr>
          <w:rFonts w:ascii="Tahoma" w:hAnsi="Tahoma" w:cs="Tahoma"/>
          <w:bCs/>
        </w:rPr>
        <w:t>The</w:t>
      </w:r>
      <w:r w:rsidR="00822D9D" w:rsidRPr="001D5AE2">
        <w:rPr>
          <w:rFonts w:ascii="Tahoma" w:hAnsi="Tahoma" w:cs="Tahoma"/>
          <w:bCs/>
        </w:rPr>
        <w:t xml:space="preserve"> </w:t>
      </w:r>
      <w:r w:rsidRPr="001D5AE2">
        <w:rPr>
          <w:rFonts w:ascii="Tahoma" w:hAnsi="Tahoma" w:cs="Tahoma"/>
          <w:bCs/>
        </w:rPr>
        <w:t>total Expenditure</w:t>
      </w:r>
      <w:r w:rsidR="00822D9D" w:rsidRPr="001D5AE2">
        <w:rPr>
          <w:rFonts w:ascii="Tahoma" w:hAnsi="Tahoma" w:cs="Tahoma"/>
          <w:bCs/>
        </w:rPr>
        <w:t xml:space="preserve"> </w:t>
      </w:r>
      <w:r w:rsidR="00F4312A" w:rsidRPr="001D5AE2">
        <w:rPr>
          <w:rFonts w:ascii="Tahoma" w:hAnsi="Tahoma" w:cs="Tahoma"/>
          <w:bCs/>
        </w:rPr>
        <w:t xml:space="preserve">projected </w:t>
      </w:r>
      <w:r w:rsidR="00822D9D" w:rsidRPr="001D5AE2">
        <w:rPr>
          <w:rFonts w:ascii="Tahoma" w:hAnsi="Tahoma" w:cs="Tahoma"/>
          <w:bCs/>
        </w:rPr>
        <w:t>at N</w:t>
      </w:r>
      <w:r w:rsidRPr="001D5AE2">
        <w:rPr>
          <w:rFonts w:ascii="Tahoma" w:hAnsi="Tahoma" w:cs="Tahoma"/>
          <w:bCs/>
        </w:rPr>
        <w:t>231,807.15</w:t>
      </w:r>
      <w:r w:rsidR="00822D9D" w:rsidRPr="001D5AE2">
        <w:rPr>
          <w:rFonts w:ascii="Tahoma" w:hAnsi="Tahoma" w:cs="Tahoma"/>
          <w:bCs/>
        </w:rPr>
        <w:t xml:space="preserve"> million in 2024</w:t>
      </w:r>
      <w:r w:rsidR="00E33FBB" w:rsidRPr="001D5AE2">
        <w:rPr>
          <w:rFonts w:ascii="Tahoma" w:hAnsi="Tahoma" w:cs="Tahoma"/>
          <w:bCs/>
        </w:rPr>
        <w:t xml:space="preserve"> to </w:t>
      </w:r>
      <w:r w:rsidR="00822D9D" w:rsidRPr="001D5AE2">
        <w:rPr>
          <w:rFonts w:ascii="Tahoma" w:hAnsi="Tahoma" w:cs="Tahoma"/>
          <w:bCs/>
        </w:rPr>
        <w:t>N</w:t>
      </w:r>
      <w:r w:rsidRPr="001D5AE2">
        <w:rPr>
          <w:rFonts w:ascii="Tahoma" w:hAnsi="Tahoma" w:cs="Tahoma"/>
          <w:bCs/>
        </w:rPr>
        <w:t>264,555.06</w:t>
      </w:r>
      <w:r w:rsidR="00822D9D" w:rsidRPr="001D5AE2">
        <w:rPr>
          <w:rFonts w:ascii="Tahoma" w:hAnsi="Tahoma" w:cs="Tahoma"/>
          <w:bCs/>
        </w:rPr>
        <w:t xml:space="preserve"> million</w:t>
      </w:r>
      <w:r w:rsidR="00873214" w:rsidRPr="001D5AE2">
        <w:rPr>
          <w:rFonts w:ascii="Tahoma" w:hAnsi="Tahoma" w:cs="Tahoma"/>
          <w:bCs/>
        </w:rPr>
        <w:t xml:space="preserve"> which comprises the Personnel costs</w:t>
      </w:r>
      <w:r w:rsidR="00873214" w:rsidRPr="001D5AE2">
        <w:rPr>
          <w:rFonts w:ascii="Tahoma" w:hAnsi="Tahoma" w:cs="Tahoma"/>
          <w:bCs/>
        </w:rPr>
        <w:tab/>
      </w:r>
      <w:r w:rsidR="00E33FBB" w:rsidRPr="001D5AE2">
        <w:rPr>
          <w:rFonts w:ascii="Tahoma" w:hAnsi="Tahoma" w:cs="Tahoma"/>
          <w:bCs/>
        </w:rPr>
        <w:t>that</w:t>
      </w:r>
      <w:r w:rsidR="00E61445" w:rsidRPr="001D5AE2">
        <w:rPr>
          <w:rFonts w:ascii="Tahoma" w:hAnsi="Tahoma" w:cs="Tahoma"/>
          <w:bCs/>
        </w:rPr>
        <w:t xml:space="preserve"> </w:t>
      </w:r>
      <w:r w:rsidR="00AB7C1F" w:rsidRPr="001D5AE2">
        <w:rPr>
          <w:rFonts w:ascii="Tahoma" w:hAnsi="Tahoma" w:cs="Tahoma"/>
          <w:bCs/>
        </w:rPr>
        <w:t>are estimated</w:t>
      </w:r>
      <w:r w:rsidR="00E33FBB" w:rsidRPr="001D5AE2">
        <w:rPr>
          <w:rFonts w:ascii="Tahoma" w:hAnsi="Tahoma" w:cs="Tahoma"/>
          <w:bCs/>
        </w:rPr>
        <w:t xml:space="preserve"> </w:t>
      </w:r>
      <w:r w:rsidR="00E61445" w:rsidRPr="001D5AE2">
        <w:rPr>
          <w:rFonts w:ascii="Tahoma" w:hAnsi="Tahoma" w:cs="Tahoma"/>
          <w:bCs/>
        </w:rPr>
        <w:t>to move from N</w:t>
      </w:r>
      <w:r w:rsidR="00873214" w:rsidRPr="001D5AE2">
        <w:rPr>
          <w:rFonts w:ascii="Tahoma" w:hAnsi="Tahoma" w:cs="Tahoma"/>
          <w:bCs/>
        </w:rPr>
        <w:t>40,321.25</w:t>
      </w:r>
      <w:r w:rsidR="00E61445" w:rsidRPr="001D5AE2">
        <w:rPr>
          <w:rFonts w:ascii="Tahoma" w:hAnsi="Tahoma" w:cs="Tahoma"/>
          <w:bCs/>
        </w:rPr>
        <w:t xml:space="preserve"> million to N</w:t>
      </w:r>
      <w:r w:rsidR="00873214" w:rsidRPr="001D5AE2">
        <w:rPr>
          <w:rFonts w:ascii="Tahoma" w:hAnsi="Tahoma" w:cs="Tahoma"/>
          <w:bCs/>
        </w:rPr>
        <w:t>48,233.71</w:t>
      </w:r>
      <w:r w:rsidR="00E61445" w:rsidRPr="001D5AE2">
        <w:rPr>
          <w:rFonts w:ascii="Tahoma" w:hAnsi="Tahoma" w:cs="Tahoma"/>
          <w:bCs/>
        </w:rPr>
        <w:t xml:space="preserve"> million, </w:t>
      </w:r>
      <w:r w:rsidR="004E249F" w:rsidRPr="001D5AE2">
        <w:rPr>
          <w:rFonts w:ascii="Tahoma" w:hAnsi="Tahoma" w:cs="Tahoma"/>
          <w:bCs/>
        </w:rPr>
        <w:t xml:space="preserve">the </w:t>
      </w:r>
      <w:r w:rsidR="00873214" w:rsidRPr="001D5AE2">
        <w:rPr>
          <w:rFonts w:ascii="Tahoma" w:hAnsi="Tahoma" w:cs="Tahoma"/>
          <w:bCs/>
        </w:rPr>
        <w:t>Overhead costs</w:t>
      </w:r>
      <w:r w:rsidR="004E249F" w:rsidRPr="001D5AE2">
        <w:rPr>
          <w:rFonts w:ascii="Tahoma" w:hAnsi="Tahoma" w:cs="Tahoma"/>
          <w:bCs/>
        </w:rPr>
        <w:t xml:space="preserve"> </w:t>
      </w:r>
      <w:r w:rsidR="005A75F0" w:rsidRPr="001D5AE2">
        <w:rPr>
          <w:rFonts w:ascii="Tahoma" w:hAnsi="Tahoma" w:cs="Tahoma"/>
          <w:bCs/>
        </w:rPr>
        <w:t>from N</w:t>
      </w:r>
      <w:r w:rsidR="00873214" w:rsidRPr="001D5AE2">
        <w:rPr>
          <w:rFonts w:ascii="Tahoma" w:hAnsi="Tahoma" w:cs="Tahoma"/>
          <w:bCs/>
        </w:rPr>
        <w:t>30,717.68</w:t>
      </w:r>
      <w:r w:rsidR="005A75F0" w:rsidRPr="001D5AE2">
        <w:rPr>
          <w:rFonts w:ascii="Tahoma" w:hAnsi="Tahoma" w:cs="Tahoma"/>
          <w:bCs/>
        </w:rPr>
        <w:t xml:space="preserve"> million to N</w:t>
      </w:r>
      <w:r w:rsidR="00873214" w:rsidRPr="001D5AE2">
        <w:rPr>
          <w:rFonts w:ascii="Tahoma" w:hAnsi="Tahoma" w:cs="Tahoma"/>
          <w:bCs/>
        </w:rPr>
        <w:t>23,337.66</w:t>
      </w:r>
      <w:r w:rsidR="005A75F0" w:rsidRPr="001D5AE2">
        <w:rPr>
          <w:rFonts w:ascii="Tahoma" w:hAnsi="Tahoma" w:cs="Tahoma"/>
          <w:bCs/>
        </w:rPr>
        <w:t xml:space="preserve"> million, o</w:t>
      </w:r>
      <w:r w:rsidR="00873214" w:rsidRPr="001D5AE2">
        <w:rPr>
          <w:rFonts w:ascii="Tahoma" w:hAnsi="Tahoma" w:cs="Tahoma"/>
          <w:bCs/>
        </w:rPr>
        <w:t>ther Recurrent Expenditure</w:t>
      </w:r>
      <w:r w:rsidR="005A75F0" w:rsidRPr="001D5AE2">
        <w:rPr>
          <w:rFonts w:ascii="Tahoma" w:hAnsi="Tahoma" w:cs="Tahoma"/>
          <w:bCs/>
        </w:rPr>
        <w:t xml:space="preserve"> </w:t>
      </w:r>
      <w:r w:rsidR="00A23332" w:rsidRPr="001D5AE2">
        <w:rPr>
          <w:rFonts w:ascii="Tahoma" w:hAnsi="Tahoma" w:cs="Tahoma"/>
          <w:bCs/>
        </w:rPr>
        <w:t>from N</w:t>
      </w:r>
      <w:r w:rsidR="00873214" w:rsidRPr="001D5AE2">
        <w:rPr>
          <w:rFonts w:ascii="Tahoma" w:hAnsi="Tahoma" w:cs="Tahoma"/>
          <w:bCs/>
        </w:rPr>
        <w:t>14,595.36</w:t>
      </w:r>
      <w:r w:rsidR="00A23332" w:rsidRPr="001D5AE2">
        <w:rPr>
          <w:rFonts w:ascii="Tahoma" w:hAnsi="Tahoma" w:cs="Tahoma"/>
          <w:bCs/>
        </w:rPr>
        <w:t xml:space="preserve"> million to N</w:t>
      </w:r>
      <w:r w:rsidR="00873214" w:rsidRPr="001D5AE2">
        <w:rPr>
          <w:rFonts w:ascii="Tahoma" w:hAnsi="Tahoma" w:cs="Tahoma"/>
          <w:bCs/>
        </w:rPr>
        <w:t>44,583.98</w:t>
      </w:r>
      <w:r w:rsidR="00A23332" w:rsidRPr="001D5AE2">
        <w:rPr>
          <w:rFonts w:ascii="Tahoma" w:hAnsi="Tahoma" w:cs="Tahoma"/>
          <w:bCs/>
        </w:rPr>
        <w:t xml:space="preserve"> million as well as </w:t>
      </w:r>
      <w:r w:rsidR="004A2C65" w:rsidRPr="001D5AE2">
        <w:rPr>
          <w:rFonts w:ascii="Tahoma" w:hAnsi="Tahoma" w:cs="Tahoma"/>
          <w:bCs/>
        </w:rPr>
        <w:t xml:space="preserve">the </w:t>
      </w:r>
      <w:r w:rsidR="00873214" w:rsidRPr="001D5AE2">
        <w:rPr>
          <w:rFonts w:ascii="Tahoma" w:hAnsi="Tahoma" w:cs="Tahoma"/>
          <w:bCs/>
        </w:rPr>
        <w:t>Capital Expenditure</w:t>
      </w:r>
      <w:r w:rsidR="004A2C65" w:rsidRPr="001D5AE2">
        <w:rPr>
          <w:rFonts w:ascii="Tahoma" w:hAnsi="Tahoma" w:cs="Tahoma"/>
          <w:bCs/>
        </w:rPr>
        <w:t xml:space="preserve"> N</w:t>
      </w:r>
      <w:r w:rsidR="00873214" w:rsidRPr="001D5AE2">
        <w:rPr>
          <w:rFonts w:ascii="Tahoma" w:hAnsi="Tahoma" w:cs="Tahoma"/>
          <w:bCs/>
        </w:rPr>
        <w:t>146,172.86</w:t>
      </w:r>
      <w:r w:rsidR="004A2C65" w:rsidRPr="001D5AE2">
        <w:rPr>
          <w:rFonts w:ascii="Tahoma" w:hAnsi="Tahoma" w:cs="Tahoma"/>
          <w:bCs/>
        </w:rPr>
        <w:t xml:space="preserve"> </w:t>
      </w:r>
      <w:r w:rsidR="006C3657" w:rsidRPr="001D5AE2">
        <w:rPr>
          <w:rFonts w:ascii="Tahoma" w:hAnsi="Tahoma" w:cs="Tahoma"/>
          <w:bCs/>
        </w:rPr>
        <w:t>m</w:t>
      </w:r>
      <w:r w:rsidR="004A2C65" w:rsidRPr="001D5AE2">
        <w:rPr>
          <w:rFonts w:ascii="Tahoma" w:hAnsi="Tahoma" w:cs="Tahoma"/>
          <w:bCs/>
        </w:rPr>
        <w:t xml:space="preserve">illion </w:t>
      </w:r>
      <w:r w:rsidR="006C3657" w:rsidRPr="001D5AE2">
        <w:rPr>
          <w:rFonts w:ascii="Tahoma" w:hAnsi="Tahoma" w:cs="Tahoma"/>
          <w:bCs/>
        </w:rPr>
        <w:t>to N</w:t>
      </w:r>
      <w:r w:rsidR="00873214" w:rsidRPr="001D5AE2">
        <w:rPr>
          <w:rFonts w:ascii="Tahoma" w:hAnsi="Tahoma" w:cs="Tahoma"/>
          <w:bCs/>
        </w:rPr>
        <w:t>148,399.70</w:t>
      </w:r>
      <w:r w:rsidR="006C3657" w:rsidRPr="001D5AE2">
        <w:rPr>
          <w:rFonts w:ascii="Tahoma" w:hAnsi="Tahoma" w:cs="Tahoma"/>
          <w:bCs/>
        </w:rPr>
        <w:t xml:space="preserve"> million respectively.</w:t>
      </w:r>
    </w:p>
    <w:p w14:paraId="5EB5D257" w14:textId="641F62B9" w:rsidR="003C207A" w:rsidRPr="001D5AE2" w:rsidRDefault="003C207A" w:rsidP="00486000">
      <w:pPr>
        <w:spacing w:after="0" w:line="360" w:lineRule="auto"/>
        <w:jc w:val="both"/>
        <w:rPr>
          <w:rFonts w:ascii="Tahoma" w:hAnsi="Tahoma" w:cs="Tahoma"/>
          <w:color w:val="0070C0"/>
        </w:rPr>
      </w:pPr>
      <w:r w:rsidRPr="001D5AE2">
        <w:rPr>
          <w:rFonts w:ascii="Tahoma" w:hAnsi="Tahoma" w:cs="Tahoma"/>
          <w:b/>
          <w:bCs/>
          <w:color w:val="0070C0"/>
        </w:rPr>
        <w:t>Kebbi State’s Budget Policy Thrust</w:t>
      </w:r>
      <w:r w:rsidRPr="001D5AE2">
        <w:rPr>
          <w:rFonts w:ascii="Tahoma" w:hAnsi="Tahoma" w:cs="Tahoma"/>
          <w:color w:val="0070C0"/>
        </w:rPr>
        <w:t xml:space="preserve"> </w:t>
      </w:r>
    </w:p>
    <w:p w14:paraId="00533757" w14:textId="22F044DF" w:rsidR="003C207A" w:rsidRPr="001D5AE2" w:rsidRDefault="003C207A" w:rsidP="003C207A">
      <w:pPr>
        <w:spacing w:line="360" w:lineRule="auto"/>
        <w:jc w:val="both"/>
        <w:rPr>
          <w:rFonts w:ascii="Tahoma" w:hAnsi="Tahoma" w:cs="Tahoma"/>
          <w:bCs/>
        </w:rPr>
      </w:pPr>
      <w:r w:rsidRPr="001D5AE2">
        <w:rPr>
          <w:rFonts w:ascii="Tahoma" w:hAnsi="Tahoma" w:cs="Tahoma"/>
          <w:bCs/>
        </w:rPr>
        <w:t>The overall size of the 202</w:t>
      </w:r>
      <w:r w:rsidR="003477AF" w:rsidRPr="001D5AE2">
        <w:rPr>
          <w:rFonts w:ascii="Tahoma" w:hAnsi="Tahoma" w:cs="Tahoma"/>
          <w:bCs/>
        </w:rPr>
        <w:t>4</w:t>
      </w:r>
      <w:r w:rsidRPr="001D5AE2">
        <w:rPr>
          <w:rFonts w:ascii="Tahoma" w:hAnsi="Tahoma" w:cs="Tahoma"/>
          <w:bCs/>
        </w:rPr>
        <w:t xml:space="preserve"> budget will be based on resource estimates as provided in the Fiscal Strategy Paper (FSP) and sector allocations in line with the State</w:t>
      </w:r>
      <w:r w:rsidR="00921321" w:rsidRPr="001D5AE2">
        <w:rPr>
          <w:rFonts w:ascii="Tahoma" w:hAnsi="Tahoma" w:cs="Tahoma"/>
          <w:bCs/>
        </w:rPr>
        <w:t>’</w:t>
      </w:r>
      <w:r w:rsidRPr="001D5AE2">
        <w:rPr>
          <w:rFonts w:ascii="Tahoma" w:hAnsi="Tahoma" w:cs="Tahoma"/>
          <w:bCs/>
        </w:rPr>
        <w:t>s development priorities.</w:t>
      </w:r>
    </w:p>
    <w:p w14:paraId="137EAF05" w14:textId="64AE8338" w:rsidR="003C207A" w:rsidRPr="001D5AE2" w:rsidRDefault="003C207A" w:rsidP="003C207A">
      <w:pPr>
        <w:spacing w:line="360" w:lineRule="auto"/>
        <w:jc w:val="both"/>
        <w:rPr>
          <w:rFonts w:ascii="Tahoma" w:hAnsi="Tahoma" w:cs="Tahoma"/>
          <w:bCs/>
        </w:rPr>
      </w:pPr>
      <w:r w:rsidRPr="001D5AE2">
        <w:rPr>
          <w:rFonts w:ascii="Tahoma" w:hAnsi="Tahoma" w:cs="Tahoma"/>
          <w:bCs/>
        </w:rPr>
        <w:t>The 202</w:t>
      </w:r>
      <w:r w:rsidR="003477AF" w:rsidRPr="001D5AE2">
        <w:rPr>
          <w:rFonts w:ascii="Tahoma" w:hAnsi="Tahoma" w:cs="Tahoma"/>
          <w:bCs/>
        </w:rPr>
        <w:t>4</w:t>
      </w:r>
      <w:r w:rsidRPr="001D5AE2">
        <w:rPr>
          <w:rFonts w:ascii="Tahoma" w:hAnsi="Tahoma" w:cs="Tahoma"/>
          <w:bCs/>
        </w:rPr>
        <w:t xml:space="preserve"> budget will focus on Agriculture and Rural Development, Infrastructural Development, Health, Education, Water Supply and Sanitation, Environment, Lands and Housing, Culture and Tourism and Youth and Women Empowerment. In the entire sub sectors, priority will be given to on-going projects.</w:t>
      </w:r>
    </w:p>
    <w:p w14:paraId="7E0CFEF2" w14:textId="41C58591" w:rsidR="003C207A" w:rsidRPr="001D5AE2" w:rsidRDefault="003C207A" w:rsidP="003C207A">
      <w:pPr>
        <w:spacing w:after="0" w:line="360" w:lineRule="auto"/>
        <w:jc w:val="both"/>
        <w:rPr>
          <w:rFonts w:ascii="Tahoma" w:hAnsi="Tahoma" w:cs="Tahoma"/>
          <w:bCs/>
        </w:rPr>
      </w:pPr>
      <w:r w:rsidRPr="001D5AE2">
        <w:rPr>
          <w:rFonts w:ascii="Tahoma" w:hAnsi="Tahoma" w:cs="Tahoma"/>
          <w:bCs/>
        </w:rPr>
        <w:t>The 202</w:t>
      </w:r>
      <w:r w:rsidR="003477AF" w:rsidRPr="001D5AE2">
        <w:rPr>
          <w:rFonts w:ascii="Tahoma" w:hAnsi="Tahoma" w:cs="Tahoma"/>
          <w:bCs/>
        </w:rPr>
        <w:t>4</w:t>
      </w:r>
      <w:r w:rsidRPr="001D5AE2">
        <w:rPr>
          <w:rFonts w:ascii="Tahoma" w:hAnsi="Tahoma" w:cs="Tahoma"/>
          <w:bCs/>
        </w:rPr>
        <w:t xml:space="preserve"> Budget Policy thrust is as follows</w:t>
      </w:r>
      <w:r w:rsidR="00652DFB" w:rsidRPr="001D5AE2">
        <w:rPr>
          <w:rFonts w:ascii="Tahoma" w:hAnsi="Tahoma" w:cs="Tahoma"/>
          <w:bCs/>
        </w:rPr>
        <w:t>:</w:t>
      </w:r>
    </w:p>
    <w:p w14:paraId="539D97F5" w14:textId="0881B8F1"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lastRenderedPageBreak/>
        <w:t>The Planning instrument of Medium-Term Sector Strategies will be the basis for MDAs 202</w:t>
      </w:r>
      <w:r w:rsidR="003477AF" w:rsidRPr="001D5AE2">
        <w:rPr>
          <w:rFonts w:ascii="Tahoma" w:hAnsi="Tahoma" w:cs="Tahoma"/>
          <w:bCs/>
          <w:sz w:val="22"/>
          <w:szCs w:val="22"/>
        </w:rPr>
        <w:t>4</w:t>
      </w:r>
      <w:r w:rsidRPr="001D5AE2">
        <w:rPr>
          <w:rFonts w:ascii="Tahoma" w:hAnsi="Tahoma" w:cs="Tahoma"/>
          <w:bCs/>
          <w:sz w:val="22"/>
          <w:szCs w:val="22"/>
        </w:rPr>
        <w:t xml:space="preserve"> budget proposal</w:t>
      </w:r>
      <w:r w:rsidR="00652DFB" w:rsidRPr="001D5AE2">
        <w:rPr>
          <w:rFonts w:ascii="Tahoma" w:hAnsi="Tahoma" w:cs="Tahoma"/>
          <w:bCs/>
          <w:sz w:val="22"/>
          <w:szCs w:val="22"/>
        </w:rPr>
        <w:t>.</w:t>
      </w:r>
    </w:p>
    <w:p w14:paraId="5FDB82C5" w14:textId="757E6357"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Strict Adherence to the principles and letters of Fiscal Responsibility Law (FRL) 2010 and State Public Procurement Law (PPL), 2010 in the day-to-day implementation of the budget</w:t>
      </w:r>
      <w:r w:rsidR="00652DFB" w:rsidRPr="001D5AE2">
        <w:rPr>
          <w:rFonts w:ascii="Tahoma" w:hAnsi="Tahoma" w:cs="Tahoma"/>
          <w:bCs/>
          <w:sz w:val="22"/>
          <w:szCs w:val="22"/>
        </w:rPr>
        <w:t>.</w:t>
      </w:r>
    </w:p>
    <w:p w14:paraId="0334A792" w14:textId="4B33C785"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Prompt payment of State counterpart contributions to attract additional resources for funding projects and programmes</w:t>
      </w:r>
      <w:r w:rsidR="00652DFB" w:rsidRPr="001D5AE2">
        <w:rPr>
          <w:rFonts w:ascii="Tahoma" w:hAnsi="Tahoma" w:cs="Tahoma"/>
          <w:bCs/>
          <w:sz w:val="22"/>
          <w:szCs w:val="22"/>
        </w:rPr>
        <w:t>.</w:t>
      </w:r>
    </w:p>
    <w:p w14:paraId="160D4403" w14:textId="3DD9907B"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Completion of critical on-going projects that have attained between 75% to 80% level of completion</w:t>
      </w:r>
      <w:r w:rsidR="00652DFB" w:rsidRPr="001D5AE2">
        <w:rPr>
          <w:rFonts w:ascii="Tahoma" w:hAnsi="Tahoma" w:cs="Tahoma"/>
          <w:bCs/>
          <w:sz w:val="22"/>
          <w:szCs w:val="22"/>
        </w:rPr>
        <w:t>.</w:t>
      </w:r>
    </w:p>
    <w:p w14:paraId="15F6F4DF" w14:textId="19288C96"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 xml:space="preserve">New projects will only be </w:t>
      </w:r>
      <w:r w:rsidR="001068EB" w:rsidRPr="001D5AE2">
        <w:rPr>
          <w:rFonts w:ascii="Tahoma" w:hAnsi="Tahoma" w:cs="Tahoma"/>
          <w:bCs/>
          <w:sz w:val="22"/>
          <w:szCs w:val="22"/>
        </w:rPr>
        <w:t>provided</w:t>
      </w:r>
      <w:r w:rsidRPr="001D5AE2">
        <w:rPr>
          <w:rFonts w:ascii="Tahoma" w:hAnsi="Tahoma" w:cs="Tahoma"/>
          <w:bCs/>
          <w:sz w:val="22"/>
          <w:szCs w:val="22"/>
        </w:rPr>
        <w:t xml:space="preserve"> after ensuring adequate provision for on-going projects</w:t>
      </w:r>
      <w:r w:rsidR="00652DFB" w:rsidRPr="001D5AE2">
        <w:rPr>
          <w:rFonts w:ascii="Tahoma" w:hAnsi="Tahoma" w:cs="Tahoma"/>
          <w:bCs/>
          <w:sz w:val="22"/>
          <w:szCs w:val="22"/>
        </w:rPr>
        <w:t>.</w:t>
      </w:r>
    </w:p>
    <w:p w14:paraId="3E1CC7F5" w14:textId="14995C0C"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Sustain investment in Agriculture to achieve self-sufficiency in food production and security</w:t>
      </w:r>
      <w:r w:rsidR="00652DFB" w:rsidRPr="001D5AE2">
        <w:rPr>
          <w:rFonts w:ascii="Tahoma" w:hAnsi="Tahoma" w:cs="Tahoma"/>
          <w:bCs/>
          <w:sz w:val="22"/>
          <w:szCs w:val="22"/>
        </w:rPr>
        <w:t>.</w:t>
      </w:r>
    </w:p>
    <w:p w14:paraId="712FDDA3" w14:textId="2218A5F7"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Use Result Based Monitoring and Evaluation (RBM&amp;E) framework to track project and programme implementation</w:t>
      </w:r>
      <w:r w:rsidR="00652DFB" w:rsidRPr="001D5AE2">
        <w:rPr>
          <w:rFonts w:ascii="Tahoma" w:hAnsi="Tahoma" w:cs="Tahoma"/>
          <w:bCs/>
          <w:sz w:val="22"/>
          <w:szCs w:val="22"/>
        </w:rPr>
        <w:t>.</w:t>
      </w:r>
    </w:p>
    <w:p w14:paraId="5456BC09" w14:textId="7183F363"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Strengthen Social Safety Net Programmes to further mitigate the impact of the current economic situation on the poor and vulnerable groups within Kebbi State</w:t>
      </w:r>
      <w:r w:rsidR="00652DFB" w:rsidRPr="001D5AE2">
        <w:rPr>
          <w:rFonts w:ascii="Tahoma" w:hAnsi="Tahoma" w:cs="Tahoma"/>
          <w:bCs/>
          <w:sz w:val="22"/>
          <w:szCs w:val="22"/>
        </w:rPr>
        <w:t>.</w:t>
      </w:r>
    </w:p>
    <w:p w14:paraId="1E788EFF" w14:textId="6AB8F19D"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Improve revenue base of the State through effective and efficient collections from the existing sources and exploration of new sources by revenue generating MDAs</w:t>
      </w:r>
      <w:r w:rsidR="00652DFB" w:rsidRPr="001D5AE2">
        <w:rPr>
          <w:rFonts w:ascii="Tahoma" w:hAnsi="Tahoma" w:cs="Tahoma"/>
          <w:bCs/>
          <w:sz w:val="22"/>
          <w:szCs w:val="22"/>
        </w:rPr>
        <w:t>.</w:t>
      </w:r>
    </w:p>
    <w:p w14:paraId="12128B6E" w14:textId="026874CF"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Continued sustenance of free education programme including School feeding programme and ensuring quality control in the education system</w:t>
      </w:r>
      <w:r w:rsidR="00652DFB" w:rsidRPr="001D5AE2">
        <w:rPr>
          <w:rFonts w:ascii="Tahoma" w:hAnsi="Tahoma" w:cs="Tahoma"/>
          <w:bCs/>
          <w:sz w:val="22"/>
          <w:szCs w:val="22"/>
        </w:rPr>
        <w:t>.</w:t>
      </w:r>
    </w:p>
    <w:p w14:paraId="6C7BB6AD" w14:textId="04D76C56"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Construction of new and Maintenance of existing physical infrastructure and facilities (Roads, Water and Public buildings)</w:t>
      </w:r>
      <w:r w:rsidR="00652DFB" w:rsidRPr="001D5AE2">
        <w:rPr>
          <w:rFonts w:ascii="Tahoma" w:hAnsi="Tahoma" w:cs="Tahoma"/>
          <w:bCs/>
          <w:sz w:val="22"/>
          <w:szCs w:val="22"/>
        </w:rPr>
        <w:t>.</w:t>
      </w:r>
    </w:p>
    <w:p w14:paraId="611C0222" w14:textId="2C21A84F"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Strengthen public service for efficiency, productivity and value for money through capacity building and incentives</w:t>
      </w:r>
      <w:r w:rsidR="00652DFB" w:rsidRPr="001D5AE2">
        <w:rPr>
          <w:rFonts w:ascii="Tahoma" w:hAnsi="Tahoma" w:cs="Tahoma"/>
          <w:bCs/>
          <w:sz w:val="22"/>
          <w:szCs w:val="22"/>
        </w:rPr>
        <w:t>.</w:t>
      </w:r>
    </w:p>
    <w:p w14:paraId="0A8AB2CA" w14:textId="77777777"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Strengthen provision of social services through whole School and Hospital approach.</w:t>
      </w:r>
    </w:p>
    <w:p w14:paraId="05F99A19" w14:textId="73B722ED"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Prioritize investment in projects and programmes that will enhance job creation, employment generation and contribute to poverty reduction</w:t>
      </w:r>
      <w:r w:rsidR="00652DFB" w:rsidRPr="001D5AE2">
        <w:rPr>
          <w:rFonts w:ascii="Tahoma" w:hAnsi="Tahoma" w:cs="Tahoma"/>
          <w:bCs/>
          <w:sz w:val="22"/>
          <w:szCs w:val="22"/>
        </w:rPr>
        <w:t>.</w:t>
      </w:r>
    </w:p>
    <w:p w14:paraId="539952B9" w14:textId="17C1B4EF"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Improve funding of MDAs for better service delivery</w:t>
      </w:r>
      <w:r w:rsidR="00652DFB" w:rsidRPr="001D5AE2">
        <w:rPr>
          <w:rFonts w:ascii="Tahoma" w:hAnsi="Tahoma" w:cs="Tahoma"/>
          <w:bCs/>
          <w:sz w:val="22"/>
          <w:szCs w:val="22"/>
        </w:rPr>
        <w:t>.</w:t>
      </w:r>
    </w:p>
    <w:p w14:paraId="3C077267" w14:textId="285E14B3"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Strengthen coordination of partners` activities in line with the State`s development priorities</w:t>
      </w:r>
      <w:r w:rsidR="00652DFB" w:rsidRPr="001D5AE2">
        <w:rPr>
          <w:rFonts w:ascii="Tahoma" w:hAnsi="Tahoma" w:cs="Tahoma"/>
          <w:bCs/>
          <w:sz w:val="22"/>
          <w:szCs w:val="22"/>
        </w:rPr>
        <w:t>.</w:t>
      </w:r>
    </w:p>
    <w:p w14:paraId="04BCA22D" w14:textId="6EBB8694"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lastRenderedPageBreak/>
        <w:t>Adequate provision and timely payment of MDAs outstanding debts/liabilities with Kebbi State Debt Management Department (DMD)</w:t>
      </w:r>
      <w:r w:rsidR="00652DFB" w:rsidRPr="001D5AE2">
        <w:rPr>
          <w:rFonts w:ascii="Tahoma" w:hAnsi="Tahoma" w:cs="Tahoma"/>
          <w:bCs/>
          <w:sz w:val="22"/>
          <w:szCs w:val="22"/>
        </w:rPr>
        <w:t>.</w:t>
      </w:r>
    </w:p>
    <w:p w14:paraId="53A65A22" w14:textId="7C840759"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Increase allocation to address issues of insecurity in the State</w:t>
      </w:r>
      <w:r w:rsidR="00652DFB" w:rsidRPr="001D5AE2">
        <w:rPr>
          <w:rFonts w:ascii="Tahoma" w:hAnsi="Tahoma" w:cs="Tahoma"/>
          <w:bCs/>
          <w:sz w:val="22"/>
          <w:szCs w:val="22"/>
        </w:rPr>
        <w:t>.</w:t>
      </w:r>
    </w:p>
    <w:p w14:paraId="2FDCB6A0" w14:textId="77777777" w:rsidR="003C207A" w:rsidRPr="001D5AE2" w:rsidRDefault="003C207A" w:rsidP="003C207A">
      <w:pPr>
        <w:pStyle w:val="ListParagraph"/>
        <w:numPr>
          <w:ilvl w:val="0"/>
          <w:numId w:val="39"/>
        </w:numPr>
        <w:spacing w:line="360" w:lineRule="auto"/>
        <w:ind w:left="426" w:hanging="426"/>
        <w:jc w:val="both"/>
        <w:rPr>
          <w:rFonts w:ascii="Tahoma" w:hAnsi="Tahoma" w:cs="Tahoma"/>
          <w:bCs/>
          <w:sz w:val="22"/>
          <w:szCs w:val="22"/>
        </w:rPr>
      </w:pPr>
      <w:r w:rsidRPr="001D5AE2">
        <w:rPr>
          <w:rFonts w:ascii="Tahoma" w:hAnsi="Tahoma" w:cs="Tahoma"/>
          <w:bCs/>
          <w:sz w:val="22"/>
          <w:szCs w:val="22"/>
        </w:rPr>
        <w:t>Prioritize allocation and release of fund to post-Covid-19 recovery programmes.</w:t>
      </w:r>
    </w:p>
    <w:p w14:paraId="4156DDA9" w14:textId="063EB5BB" w:rsidR="003C207A" w:rsidRPr="001D5AE2" w:rsidRDefault="003C207A" w:rsidP="003C207A">
      <w:pPr>
        <w:spacing w:after="0" w:line="360" w:lineRule="auto"/>
        <w:jc w:val="both"/>
        <w:rPr>
          <w:rFonts w:ascii="Tahoma" w:hAnsi="Tahoma" w:cs="Tahoma"/>
          <w:b/>
          <w:color w:val="0070C0"/>
        </w:rPr>
      </w:pPr>
      <w:r w:rsidRPr="001D5AE2">
        <w:rPr>
          <w:rFonts w:ascii="Tahoma" w:hAnsi="Tahoma" w:cs="Tahoma"/>
          <w:b/>
          <w:color w:val="0070C0"/>
        </w:rPr>
        <w:t>Legislative Framework for Public Financial Management in Kebbi State</w:t>
      </w:r>
    </w:p>
    <w:p w14:paraId="3C826573" w14:textId="4328D512" w:rsidR="003C207A" w:rsidRPr="001D5AE2" w:rsidRDefault="003C207A" w:rsidP="003C207A">
      <w:pPr>
        <w:spacing w:line="360" w:lineRule="auto"/>
        <w:jc w:val="both"/>
        <w:rPr>
          <w:rFonts w:ascii="Tahoma" w:hAnsi="Tahoma" w:cs="Tahoma"/>
          <w:bCs/>
        </w:rPr>
      </w:pPr>
      <w:r w:rsidRPr="001D5AE2">
        <w:rPr>
          <w:rFonts w:ascii="Tahoma" w:hAnsi="Tahoma" w:cs="Tahoma"/>
          <w:bCs/>
        </w:rPr>
        <w:t>The fundamental law governing Public Financial Management (PFM) in Nigeria and Kebbi State in particular is the 1999 Constitution as amended. Section 120 and 121 of the Constitution provides that all revenues accruing to Kebbi State Government shall be received into a Consolidated Revenue Fund (CRF) to be maintained by the Government and no revenue shall be paid into any other fund, except as authorized by the State House of Assembly (SOHA) for a specific purpose. The withdrawal of funds from the CRF shall be authorized by the SOHA through the annual budget or appropriation process.  The Governor of Kebbi State shall prepare and lay expenditure proposals for the coming financial year before the SOHA, and the SOHA shall approve the expenditure proposal by passing an Appropriation Law. The Appropriation Law shall authorize the executive arm of government to withdraw and spend the amounts specified from the CRF.</w:t>
      </w:r>
    </w:p>
    <w:p w14:paraId="717ACA6F" w14:textId="78EB48C5" w:rsidR="003C207A" w:rsidRPr="001D5AE2" w:rsidRDefault="003C207A" w:rsidP="003C207A">
      <w:pPr>
        <w:spacing w:after="0" w:line="360" w:lineRule="auto"/>
        <w:jc w:val="both"/>
        <w:rPr>
          <w:rFonts w:ascii="Tahoma" w:hAnsi="Tahoma" w:cs="Tahoma"/>
          <w:b/>
          <w:color w:val="0070C0"/>
        </w:rPr>
      </w:pPr>
      <w:r w:rsidRPr="001D5AE2">
        <w:rPr>
          <w:rFonts w:ascii="Tahoma" w:hAnsi="Tahoma" w:cs="Tahoma"/>
          <w:b/>
          <w:color w:val="0070C0"/>
        </w:rPr>
        <w:t>Institutional Framework for Public Financial Management in Kebbi State</w:t>
      </w:r>
    </w:p>
    <w:p w14:paraId="0EB5067A" w14:textId="22951A7A" w:rsidR="003C207A" w:rsidRPr="001D5AE2" w:rsidRDefault="003C207A" w:rsidP="003C207A">
      <w:pPr>
        <w:spacing w:line="360" w:lineRule="auto"/>
        <w:jc w:val="both"/>
        <w:rPr>
          <w:rFonts w:ascii="Tahoma" w:hAnsi="Tahoma" w:cs="Tahoma"/>
          <w:bCs/>
        </w:rPr>
      </w:pPr>
      <w:r w:rsidRPr="001D5AE2">
        <w:rPr>
          <w:rFonts w:ascii="Tahoma" w:hAnsi="Tahoma" w:cs="Tahoma"/>
          <w:bCs/>
        </w:rPr>
        <w:t>The Constitution vests the executive powers of the State in the Governor. The Constitution provides that “the Governor shall cause to be prepared and laid before the House of Assembly on or before the last business day of August of each financial year, containing estimates of the revenues and expenditure of the State for the next three financial years”. The Governor of Kebbi State exercises his executive powers directly or through the Deputy Governor, the Commissioners, Special Advisers, Permanent Secretaries, and other officers in the public service of the State.</w:t>
      </w:r>
    </w:p>
    <w:p w14:paraId="46EB2AB2" w14:textId="761E5A4E" w:rsidR="00610166" w:rsidRPr="001D5AE2" w:rsidRDefault="008325D2" w:rsidP="00610166">
      <w:pPr>
        <w:spacing w:line="360" w:lineRule="auto"/>
        <w:jc w:val="both"/>
        <w:rPr>
          <w:rFonts w:ascii="Tahoma" w:hAnsi="Tahoma" w:cs="Tahoma"/>
        </w:rPr>
      </w:pPr>
      <w:r w:rsidRPr="001D5AE2">
        <w:rPr>
          <w:rFonts w:ascii="Tahoma" w:hAnsi="Tahoma" w:cs="Tahoma"/>
          <w:b/>
          <w:bCs/>
        </w:rPr>
        <w:t>2.2</w:t>
      </w:r>
      <w:r w:rsidRPr="001D5AE2">
        <w:rPr>
          <w:rFonts w:ascii="Tahoma" w:hAnsi="Tahoma" w:cs="Tahoma"/>
          <w:b/>
          <w:bCs/>
        </w:rPr>
        <w:tab/>
      </w:r>
      <w:r w:rsidR="00856B93" w:rsidRPr="001D5AE2">
        <w:rPr>
          <w:rFonts w:ascii="Tahoma" w:hAnsi="Tahoma" w:cs="Tahoma"/>
          <w:b/>
          <w:bCs/>
        </w:rPr>
        <w:t>State’s Revenue policies</w:t>
      </w:r>
      <w:r w:rsidR="00121D29" w:rsidRPr="001D5AE2">
        <w:rPr>
          <w:rFonts w:ascii="Tahoma" w:hAnsi="Tahoma" w:cs="Tahoma"/>
        </w:rPr>
        <w:t xml:space="preserve">: </w:t>
      </w:r>
      <w:r w:rsidR="00610166" w:rsidRPr="001D5AE2">
        <w:rPr>
          <w:rFonts w:ascii="Tahoma" w:hAnsi="Tahoma" w:cs="Tahoma"/>
        </w:rPr>
        <w:t>Kebbi State Government introduced new “</w:t>
      </w:r>
      <w:r w:rsidR="00610166" w:rsidRPr="001D5AE2">
        <w:rPr>
          <w:rFonts w:ascii="Tahoma" w:hAnsi="Tahoma" w:cs="Tahoma"/>
          <w:i/>
          <w:iCs/>
        </w:rPr>
        <w:t>Revenue Bill 2020</w:t>
      </w:r>
      <w:r w:rsidR="00610166" w:rsidRPr="001D5AE2">
        <w:rPr>
          <w:rFonts w:ascii="Tahoma" w:hAnsi="Tahoma" w:cs="Tahoma"/>
        </w:rPr>
        <w:t xml:space="preserve">” the bill make provision for the repeal and re-enactment of a law no. 002 of 2019 for the administration and collection of revenue accrued to the Kebbi State Government and local government. Under the new bill the “Taxable person” includes an individual or body, individuals, family, corporation sole, trustee or executor or a person who carries out in a place an economic activity, a person exploiting tangible or </w:t>
      </w:r>
      <w:r w:rsidR="00610166" w:rsidRPr="001D5AE2">
        <w:rPr>
          <w:rFonts w:ascii="Tahoma" w:hAnsi="Tahoma" w:cs="Tahoma"/>
        </w:rPr>
        <w:lastRenderedPageBreak/>
        <w:t>intangible property for the purpose of obtaining income there from by way of trade of business or person or agency of government acting in that capacity.</w:t>
      </w:r>
    </w:p>
    <w:p w14:paraId="46D1C2E2" w14:textId="3F6194F5" w:rsidR="00610166" w:rsidRPr="001D5AE2" w:rsidRDefault="0052190C" w:rsidP="00610166">
      <w:pPr>
        <w:spacing w:after="0" w:line="360" w:lineRule="auto"/>
        <w:jc w:val="both"/>
        <w:rPr>
          <w:rFonts w:ascii="Tahoma" w:hAnsi="Tahoma" w:cs="Tahoma"/>
        </w:rPr>
      </w:pPr>
      <w:r w:rsidRPr="001D5AE2">
        <w:rPr>
          <w:rFonts w:ascii="Tahoma" w:hAnsi="Tahoma" w:cs="Tahoma"/>
        </w:rPr>
        <w:t xml:space="preserve">The </w:t>
      </w:r>
      <w:proofErr w:type="gramStart"/>
      <w:r w:rsidRPr="001D5AE2">
        <w:rPr>
          <w:rFonts w:ascii="Tahoma" w:hAnsi="Tahoma" w:cs="Tahoma"/>
        </w:rPr>
        <w:t>purpose</w:t>
      </w:r>
      <w:r w:rsidR="00610166" w:rsidRPr="001D5AE2">
        <w:rPr>
          <w:rFonts w:ascii="Tahoma" w:hAnsi="Tahoma" w:cs="Tahoma"/>
        </w:rPr>
        <w:t xml:space="preserve"> of the new bill are</w:t>
      </w:r>
      <w:proofErr w:type="gramEnd"/>
      <w:r w:rsidR="00610166" w:rsidRPr="001D5AE2">
        <w:rPr>
          <w:rFonts w:ascii="Tahoma" w:hAnsi="Tahoma" w:cs="Tahoma"/>
        </w:rPr>
        <w:t xml:space="preserve"> as follows:</w:t>
      </w:r>
    </w:p>
    <w:p w14:paraId="782E383B" w14:textId="77777777" w:rsidR="00610166" w:rsidRPr="001D5AE2" w:rsidRDefault="00610166" w:rsidP="00610166">
      <w:pPr>
        <w:pStyle w:val="ListParagraph"/>
        <w:numPr>
          <w:ilvl w:val="0"/>
          <w:numId w:val="22"/>
        </w:numPr>
        <w:spacing w:line="360" w:lineRule="auto"/>
        <w:jc w:val="both"/>
        <w:rPr>
          <w:rFonts w:ascii="Tahoma" w:hAnsi="Tahoma" w:cs="Tahoma"/>
          <w:sz w:val="22"/>
          <w:szCs w:val="22"/>
        </w:rPr>
      </w:pPr>
      <w:r w:rsidRPr="001D5AE2">
        <w:rPr>
          <w:rFonts w:ascii="Tahoma" w:hAnsi="Tahoma" w:cs="Tahoma"/>
          <w:sz w:val="22"/>
          <w:szCs w:val="22"/>
        </w:rPr>
        <w:t xml:space="preserve">To establish a single Central revenue account (herein after called “the Account”) for all the internally generated revenue of the state. </w:t>
      </w:r>
    </w:p>
    <w:p w14:paraId="2030315D" w14:textId="77777777" w:rsidR="00610166" w:rsidRPr="001D5AE2" w:rsidRDefault="00610166" w:rsidP="00610166">
      <w:pPr>
        <w:pStyle w:val="ListParagraph"/>
        <w:numPr>
          <w:ilvl w:val="0"/>
          <w:numId w:val="22"/>
        </w:numPr>
        <w:spacing w:line="360" w:lineRule="auto"/>
        <w:jc w:val="both"/>
        <w:rPr>
          <w:rFonts w:ascii="Tahoma" w:hAnsi="Tahoma" w:cs="Tahoma"/>
          <w:sz w:val="22"/>
          <w:szCs w:val="22"/>
        </w:rPr>
      </w:pPr>
      <w:r w:rsidRPr="001D5AE2">
        <w:rPr>
          <w:rFonts w:ascii="Tahoma" w:hAnsi="Tahoma" w:cs="Tahoma"/>
          <w:sz w:val="22"/>
          <w:szCs w:val="22"/>
        </w:rPr>
        <w:t>The account should be utilized by SIRS for the purpose of capturing the total revenue collection of the state.</w:t>
      </w:r>
    </w:p>
    <w:p w14:paraId="73E26F0F" w14:textId="77777777" w:rsidR="00610166" w:rsidRPr="001D5AE2" w:rsidRDefault="00610166" w:rsidP="00610166">
      <w:pPr>
        <w:pStyle w:val="ListParagraph"/>
        <w:numPr>
          <w:ilvl w:val="0"/>
          <w:numId w:val="22"/>
        </w:numPr>
        <w:spacing w:line="360" w:lineRule="auto"/>
        <w:jc w:val="both"/>
        <w:rPr>
          <w:rFonts w:ascii="Tahoma" w:hAnsi="Tahoma" w:cs="Tahoma"/>
          <w:sz w:val="22"/>
          <w:szCs w:val="22"/>
        </w:rPr>
      </w:pPr>
      <w:r w:rsidRPr="001D5AE2">
        <w:rPr>
          <w:rFonts w:ascii="Tahoma" w:hAnsi="Tahoma" w:cs="Tahoma"/>
          <w:sz w:val="22"/>
          <w:szCs w:val="22"/>
        </w:rPr>
        <w:t>The account shall be maintained and operated with the designated IGR reporting Bank, which shall account for all revenues collected by Lead Bank through designated collecting Bank as may from time to time be authorized by the Governor or any other person authorized by him.</w:t>
      </w:r>
    </w:p>
    <w:p w14:paraId="3267D82B" w14:textId="0A55833E" w:rsidR="00AC236B" w:rsidRPr="001D5AE2" w:rsidRDefault="008325D2" w:rsidP="00AC236B">
      <w:pPr>
        <w:spacing w:line="360" w:lineRule="auto"/>
        <w:jc w:val="both"/>
        <w:rPr>
          <w:rFonts w:ascii="Tahoma" w:hAnsi="Tahoma" w:cs="Tahoma"/>
          <w:bCs/>
        </w:rPr>
      </w:pPr>
      <w:r w:rsidRPr="001D5AE2">
        <w:rPr>
          <w:rFonts w:ascii="Tahoma" w:hAnsi="Tahoma" w:cs="Tahoma"/>
          <w:b/>
          <w:bCs/>
        </w:rPr>
        <w:t>2.3</w:t>
      </w:r>
      <w:r w:rsidRPr="001D5AE2">
        <w:rPr>
          <w:rFonts w:ascii="Tahoma" w:hAnsi="Tahoma" w:cs="Tahoma"/>
          <w:b/>
          <w:bCs/>
        </w:rPr>
        <w:tab/>
      </w:r>
      <w:r w:rsidR="00A00046" w:rsidRPr="001D5AE2">
        <w:rPr>
          <w:rFonts w:ascii="Tahoma" w:hAnsi="Tahoma" w:cs="Tahoma"/>
          <w:b/>
          <w:bCs/>
        </w:rPr>
        <w:t>State’s Expenditure P</w:t>
      </w:r>
      <w:r w:rsidR="00AC236B" w:rsidRPr="001D5AE2">
        <w:rPr>
          <w:rFonts w:ascii="Tahoma" w:hAnsi="Tahoma" w:cs="Tahoma"/>
          <w:b/>
          <w:bCs/>
        </w:rPr>
        <w:t>olicies</w:t>
      </w:r>
      <w:r w:rsidR="00AC236B" w:rsidRPr="001D5AE2">
        <w:rPr>
          <w:rFonts w:ascii="Tahoma" w:hAnsi="Tahoma" w:cs="Tahoma"/>
        </w:rPr>
        <w:t xml:space="preserve">: </w:t>
      </w:r>
      <w:r w:rsidR="00865C76" w:rsidRPr="001D5AE2">
        <w:rPr>
          <w:rFonts w:ascii="Tahoma" w:hAnsi="Tahoma" w:cs="Tahoma"/>
          <w:bCs/>
        </w:rPr>
        <w:t>Kebbi</w:t>
      </w:r>
      <w:r w:rsidR="00A00046" w:rsidRPr="001D5AE2">
        <w:rPr>
          <w:rFonts w:ascii="Tahoma" w:hAnsi="Tahoma" w:cs="Tahoma"/>
          <w:bCs/>
        </w:rPr>
        <w:t xml:space="preserve"> State</w:t>
      </w:r>
      <w:r w:rsidR="00AC236B" w:rsidRPr="001D5AE2">
        <w:rPr>
          <w:rFonts w:ascii="Tahoma" w:hAnsi="Tahoma" w:cs="Tahoma"/>
          <w:bCs/>
        </w:rPr>
        <w:t>’s Expenditure Policies drives through a State’s Comprehensive Development Framework (CDF) which is to develop a holistic socioeconomic development strategy that puts together all major elements affecting the development of the State. The effort represents a shared vision of all stakeholders, a development framework that is designed to guide short and medium-term state development plans and ensure effective linkage to the budget through a Medium-Term Expenditure Framework with sufficient flexibility to respond to emerging needs and exigencies.</w:t>
      </w:r>
    </w:p>
    <w:p w14:paraId="21531B25" w14:textId="2C40CD72" w:rsidR="00856B93" w:rsidRPr="001D5AE2" w:rsidRDefault="00AC236B" w:rsidP="00AC236B">
      <w:pPr>
        <w:spacing w:line="360" w:lineRule="auto"/>
        <w:jc w:val="both"/>
        <w:rPr>
          <w:rFonts w:ascii="Tahoma" w:hAnsi="Tahoma" w:cs="Tahoma"/>
          <w:bCs/>
        </w:rPr>
      </w:pPr>
      <w:r w:rsidRPr="001D5AE2">
        <w:rPr>
          <w:rFonts w:ascii="Tahoma" w:hAnsi="Tahoma" w:cs="Tahoma"/>
          <w:bCs/>
        </w:rPr>
        <w:t xml:space="preserve">This section provides a brief review of the development process of the State since its creation, the overall development objectives, and priorities, as well as its mission and vision. The section also gives an overview of the conceptual underpinnings for the sustainable economic development of the State outlined in the </w:t>
      </w:r>
      <w:r w:rsidR="00865C76" w:rsidRPr="001D5AE2">
        <w:rPr>
          <w:rFonts w:ascii="Tahoma" w:hAnsi="Tahoma" w:cs="Tahoma"/>
          <w:bCs/>
        </w:rPr>
        <w:t>Kebbi</w:t>
      </w:r>
      <w:r w:rsidRPr="001D5AE2">
        <w:rPr>
          <w:rFonts w:ascii="Tahoma" w:hAnsi="Tahoma" w:cs="Tahoma"/>
          <w:bCs/>
        </w:rPr>
        <w:t xml:space="preserve"> State CDF.</w:t>
      </w:r>
    </w:p>
    <w:p w14:paraId="70093304" w14:textId="77777777" w:rsidR="00A4004C" w:rsidRPr="001D5AE2" w:rsidRDefault="00A4004C" w:rsidP="00A4004C">
      <w:pPr>
        <w:spacing w:line="360" w:lineRule="auto"/>
        <w:jc w:val="both"/>
        <w:rPr>
          <w:rFonts w:ascii="Tahoma" w:hAnsi="Tahoma" w:cs="Tahoma"/>
        </w:rPr>
      </w:pPr>
      <w:r w:rsidRPr="001D5AE2">
        <w:rPr>
          <w:rFonts w:ascii="Tahoma" w:hAnsi="Tahoma" w:cs="Tahoma"/>
        </w:rPr>
        <w:t>Government spending drives economic activity either through the development of large-scale infrastructural projects or through the provision of resources to the poor in the form of social grants. Investments in education and health have long-term economic benefits.</w:t>
      </w:r>
    </w:p>
    <w:p w14:paraId="2BF70B4D" w14:textId="77777777" w:rsidR="00A4004C" w:rsidRPr="001D5AE2" w:rsidRDefault="00A4004C" w:rsidP="00A4004C">
      <w:pPr>
        <w:spacing w:after="0" w:line="360" w:lineRule="auto"/>
        <w:jc w:val="both"/>
        <w:rPr>
          <w:rFonts w:ascii="Tahoma" w:hAnsi="Tahoma" w:cs="Tahoma"/>
        </w:rPr>
      </w:pPr>
      <w:r w:rsidRPr="001D5AE2">
        <w:rPr>
          <w:rFonts w:ascii="Tahoma" w:hAnsi="Tahoma" w:cs="Tahoma"/>
        </w:rPr>
        <w:t xml:space="preserve">Fiscal policy is the deliberate adjustment of government spending, borrowing or taxation to help achieve desirable economic objectives. Kebbi State Government introduced new </w:t>
      </w:r>
      <w:r w:rsidRPr="001D5AE2">
        <w:rPr>
          <w:rFonts w:ascii="Tahoma" w:hAnsi="Tahoma" w:cs="Tahoma"/>
        </w:rPr>
        <w:lastRenderedPageBreak/>
        <w:t>Bill titled “Price Intelligence and Public Procurement Bill, 2020” the objected of the bill are as follows:</w:t>
      </w:r>
    </w:p>
    <w:p w14:paraId="3F7963B6" w14:textId="77777777" w:rsidR="00A4004C" w:rsidRPr="001D5AE2" w:rsidRDefault="00A4004C" w:rsidP="00A4004C">
      <w:pPr>
        <w:pStyle w:val="ListParagraph"/>
        <w:numPr>
          <w:ilvl w:val="0"/>
          <w:numId w:val="24"/>
        </w:numPr>
        <w:spacing w:line="360" w:lineRule="auto"/>
        <w:jc w:val="both"/>
        <w:rPr>
          <w:rFonts w:ascii="Tahoma" w:hAnsi="Tahoma" w:cs="Tahoma"/>
          <w:sz w:val="22"/>
          <w:szCs w:val="22"/>
        </w:rPr>
      </w:pPr>
      <w:r w:rsidRPr="001D5AE2">
        <w:rPr>
          <w:rFonts w:ascii="Tahoma" w:hAnsi="Tahoma" w:cs="Tahoma"/>
          <w:sz w:val="22"/>
          <w:szCs w:val="22"/>
        </w:rPr>
        <w:t>Maximize economy and efficiency in public procurement;</w:t>
      </w:r>
    </w:p>
    <w:p w14:paraId="2EF315AF" w14:textId="77777777" w:rsidR="00A4004C" w:rsidRPr="001D5AE2" w:rsidRDefault="00A4004C" w:rsidP="00A4004C">
      <w:pPr>
        <w:pStyle w:val="ListParagraph"/>
        <w:numPr>
          <w:ilvl w:val="0"/>
          <w:numId w:val="24"/>
        </w:numPr>
        <w:spacing w:line="360" w:lineRule="auto"/>
        <w:jc w:val="both"/>
        <w:rPr>
          <w:rFonts w:ascii="Tahoma" w:hAnsi="Tahoma" w:cs="Tahoma"/>
          <w:sz w:val="22"/>
          <w:szCs w:val="22"/>
        </w:rPr>
      </w:pPr>
      <w:r w:rsidRPr="001D5AE2">
        <w:rPr>
          <w:rFonts w:ascii="Tahoma" w:hAnsi="Tahoma" w:cs="Tahoma"/>
          <w:sz w:val="22"/>
          <w:szCs w:val="22"/>
        </w:rPr>
        <w:t>Promote economic development through public procurement</w:t>
      </w:r>
    </w:p>
    <w:p w14:paraId="3E93A8E0" w14:textId="77777777" w:rsidR="00A4004C" w:rsidRPr="001D5AE2" w:rsidRDefault="00A4004C" w:rsidP="00A4004C">
      <w:pPr>
        <w:pStyle w:val="ListParagraph"/>
        <w:numPr>
          <w:ilvl w:val="0"/>
          <w:numId w:val="24"/>
        </w:numPr>
        <w:spacing w:line="360" w:lineRule="auto"/>
        <w:jc w:val="both"/>
        <w:rPr>
          <w:rFonts w:ascii="Tahoma" w:hAnsi="Tahoma" w:cs="Tahoma"/>
          <w:sz w:val="22"/>
          <w:szCs w:val="22"/>
        </w:rPr>
      </w:pPr>
      <w:r w:rsidRPr="001D5AE2">
        <w:rPr>
          <w:rFonts w:ascii="Tahoma" w:hAnsi="Tahoma" w:cs="Tahoma"/>
          <w:sz w:val="22"/>
          <w:szCs w:val="22"/>
        </w:rPr>
        <w:t>Obtain value for money in public procurement;</w:t>
      </w:r>
    </w:p>
    <w:p w14:paraId="41C26C19" w14:textId="77777777" w:rsidR="00A4004C" w:rsidRPr="001D5AE2" w:rsidRDefault="00A4004C" w:rsidP="00A4004C">
      <w:pPr>
        <w:pStyle w:val="ListParagraph"/>
        <w:numPr>
          <w:ilvl w:val="0"/>
          <w:numId w:val="24"/>
        </w:numPr>
        <w:spacing w:line="360" w:lineRule="auto"/>
        <w:jc w:val="both"/>
        <w:rPr>
          <w:rFonts w:ascii="Tahoma" w:hAnsi="Tahoma" w:cs="Tahoma"/>
          <w:sz w:val="22"/>
          <w:szCs w:val="22"/>
        </w:rPr>
      </w:pPr>
      <w:r w:rsidRPr="001D5AE2">
        <w:rPr>
          <w:rFonts w:ascii="Tahoma" w:hAnsi="Tahoma" w:cs="Tahoma"/>
          <w:sz w:val="22"/>
          <w:szCs w:val="22"/>
        </w:rPr>
        <w:t>Promote integrity and engender public confidence in the public procurement process;</w:t>
      </w:r>
    </w:p>
    <w:p w14:paraId="5AB9C2F0" w14:textId="77777777" w:rsidR="00A4004C" w:rsidRPr="001D5AE2" w:rsidRDefault="00A4004C" w:rsidP="00A4004C">
      <w:pPr>
        <w:pStyle w:val="ListParagraph"/>
        <w:numPr>
          <w:ilvl w:val="0"/>
          <w:numId w:val="24"/>
        </w:numPr>
        <w:spacing w:line="360" w:lineRule="auto"/>
        <w:jc w:val="both"/>
        <w:rPr>
          <w:rFonts w:ascii="Tahoma" w:hAnsi="Tahoma" w:cs="Tahoma"/>
          <w:sz w:val="22"/>
          <w:szCs w:val="22"/>
        </w:rPr>
      </w:pPr>
      <w:r w:rsidRPr="001D5AE2">
        <w:rPr>
          <w:rFonts w:ascii="Tahoma" w:hAnsi="Tahoma" w:cs="Tahoma"/>
          <w:sz w:val="22"/>
          <w:szCs w:val="22"/>
        </w:rPr>
        <w:t>Foster transparency in the public procurement process;</w:t>
      </w:r>
    </w:p>
    <w:p w14:paraId="23785272" w14:textId="77777777" w:rsidR="00A4004C" w:rsidRPr="001D5AE2" w:rsidRDefault="00A4004C" w:rsidP="00A4004C">
      <w:pPr>
        <w:pStyle w:val="ListParagraph"/>
        <w:numPr>
          <w:ilvl w:val="0"/>
          <w:numId w:val="24"/>
        </w:numPr>
        <w:spacing w:line="360" w:lineRule="auto"/>
        <w:jc w:val="both"/>
        <w:rPr>
          <w:rFonts w:ascii="Tahoma" w:hAnsi="Tahoma" w:cs="Tahoma"/>
          <w:sz w:val="22"/>
          <w:szCs w:val="22"/>
        </w:rPr>
      </w:pPr>
      <w:r w:rsidRPr="001D5AE2">
        <w:rPr>
          <w:rFonts w:ascii="Tahoma" w:hAnsi="Tahoma" w:cs="Tahoma"/>
          <w:sz w:val="22"/>
          <w:szCs w:val="22"/>
        </w:rPr>
        <w:t>Encourage participation in public procurement</w:t>
      </w:r>
    </w:p>
    <w:p w14:paraId="59FFB069" w14:textId="77777777" w:rsidR="00A4004C" w:rsidRPr="001D5AE2" w:rsidRDefault="00A4004C" w:rsidP="00A4004C">
      <w:pPr>
        <w:pStyle w:val="ListParagraph"/>
        <w:numPr>
          <w:ilvl w:val="0"/>
          <w:numId w:val="24"/>
        </w:numPr>
        <w:spacing w:line="360" w:lineRule="auto"/>
        <w:jc w:val="both"/>
        <w:rPr>
          <w:rFonts w:ascii="Tahoma" w:hAnsi="Tahoma" w:cs="Tahoma"/>
          <w:sz w:val="22"/>
          <w:szCs w:val="22"/>
        </w:rPr>
      </w:pPr>
      <w:r w:rsidRPr="001D5AE2">
        <w:rPr>
          <w:rFonts w:ascii="Tahoma" w:hAnsi="Tahoma" w:cs="Tahoma"/>
          <w:sz w:val="22"/>
          <w:szCs w:val="22"/>
        </w:rPr>
        <w:t>Provide for the fair and equitable treatment of all persons participating in public procurement proceedings; and,</w:t>
      </w:r>
    </w:p>
    <w:p w14:paraId="411F938C" w14:textId="77777777" w:rsidR="00A4004C" w:rsidRPr="001D5AE2" w:rsidRDefault="00A4004C" w:rsidP="00A4004C">
      <w:pPr>
        <w:pStyle w:val="ListParagraph"/>
        <w:numPr>
          <w:ilvl w:val="0"/>
          <w:numId w:val="24"/>
        </w:numPr>
        <w:spacing w:line="360" w:lineRule="auto"/>
        <w:jc w:val="both"/>
        <w:rPr>
          <w:rFonts w:ascii="Tahoma" w:hAnsi="Tahoma" w:cs="Tahoma"/>
          <w:sz w:val="22"/>
          <w:szCs w:val="22"/>
        </w:rPr>
      </w:pPr>
      <w:r w:rsidRPr="001D5AE2">
        <w:rPr>
          <w:rFonts w:ascii="Tahoma" w:hAnsi="Tahoma" w:cs="Tahoma"/>
          <w:sz w:val="22"/>
          <w:szCs w:val="22"/>
        </w:rPr>
        <w:t>Encourage the State economic growth by enabling the participation of small and medium sized enterprises in Public procurement.</w:t>
      </w:r>
    </w:p>
    <w:p w14:paraId="39A86F82" w14:textId="77777777" w:rsidR="00E73978" w:rsidRPr="001D5AE2" w:rsidRDefault="00E73978" w:rsidP="00E73978">
      <w:pPr>
        <w:spacing w:line="360" w:lineRule="auto"/>
        <w:jc w:val="both"/>
        <w:rPr>
          <w:rFonts w:ascii="Tahoma" w:hAnsi="Tahoma" w:cs="Tahoma"/>
        </w:rPr>
      </w:pPr>
    </w:p>
    <w:p w14:paraId="04A3BACC" w14:textId="77777777" w:rsidR="00E73978" w:rsidRPr="001D5AE2" w:rsidRDefault="00E73978" w:rsidP="00E73978">
      <w:pPr>
        <w:spacing w:line="360" w:lineRule="auto"/>
        <w:jc w:val="both"/>
        <w:rPr>
          <w:rFonts w:ascii="Tahoma" w:hAnsi="Tahoma" w:cs="Tahoma"/>
        </w:rPr>
      </w:pPr>
    </w:p>
    <w:p w14:paraId="761BD348" w14:textId="77777777" w:rsidR="00E73978" w:rsidRPr="001D5AE2" w:rsidRDefault="00E73978" w:rsidP="00E73978">
      <w:pPr>
        <w:spacing w:line="360" w:lineRule="auto"/>
        <w:jc w:val="both"/>
        <w:rPr>
          <w:rFonts w:ascii="Tahoma" w:hAnsi="Tahoma" w:cs="Tahoma"/>
        </w:rPr>
      </w:pPr>
    </w:p>
    <w:p w14:paraId="7DD6D08B" w14:textId="77777777" w:rsidR="00E73978" w:rsidRPr="001D5AE2" w:rsidRDefault="00E73978" w:rsidP="00E73978">
      <w:pPr>
        <w:spacing w:line="360" w:lineRule="auto"/>
        <w:jc w:val="both"/>
        <w:rPr>
          <w:rFonts w:ascii="Tahoma" w:hAnsi="Tahoma" w:cs="Tahoma"/>
        </w:rPr>
      </w:pPr>
    </w:p>
    <w:p w14:paraId="346043AF" w14:textId="77777777" w:rsidR="001C6E48" w:rsidRDefault="001C6E48" w:rsidP="00856B93">
      <w:pPr>
        <w:pStyle w:val="Heading1"/>
        <w:spacing w:before="0" w:line="360" w:lineRule="auto"/>
        <w:rPr>
          <w:rFonts w:ascii="Tahoma" w:hAnsi="Tahoma" w:cs="Tahoma"/>
          <w:b/>
          <w:bCs/>
          <w:color w:val="0070C0"/>
          <w:sz w:val="24"/>
          <w:szCs w:val="24"/>
        </w:rPr>
      </w:pPr>
      <w:bookmarkStart w:id="2" w:name="_Toc184224159"/>
    </w:p>
    <w:p w14:paraId="6C1165EA" w14:textId="77777777" w:rsidR="001C6E48" w:rsidRDefault="001C6E48" w:rsidP="00856B93">
      <w:pPr>
        <w:pStyle w:val="Heading1"/>
        <w:spacing w:before="0" w:line="360" w:lineRule="auto"/>
        <w:rPr>
          <w:rFonts w:ascii="Tahoma" w:hAnsi="Tahoma" w:cs="Tahoma"/>
          <w:b/>
          <w:bCs/>
          <w:color w:val="0070C0"/>
          <w:sz w:val="24"/>
          <w:szCs w:val="24"/>
        </w:rPr>
      </w:pPr>
    </w:p>
    <w:p w14:paraId="727FBDF0" w14:textId="77777777" w:rsidR="001C6E48" w:rsidRDefault="001C6E48" w:rsidP="00856B93">
      <w:pPr>
        <w:pStyle w:val="Heading1"/>
        <w:spacing w:before="0" w:line="360" w:lineRule="auto"/>
        <w:rPr>
          <w:rFonts w:ascii="Tahoma" w:hAnsi="Tahoma" w:cs="Tahoma"/>
          <w:b/>
          <w:bCs/>
          <w:color w:val="0070C0"/>
          <w:sz w:val="24"/>
          <w:szCs w:val="24"/>
        </w:rPr>
      </w:pPr>
    </w:p>
    <w:p w14:paraId="29A68AD0" w14:textId="77777777" w:rsidR="001C6E48" w:rsidRDefault="001C6E48" w:rsidP="00856B93">
      <w:pPr>
        <w:pStyle w:val="Heading1"/>
        <w:spacing w:before="0" w:line="360" w:lineRule="auto"/>
        <w:rPr>
          <w:rFonts w:ascii="Tahoma" w:hAnsi="Tahoma" w:cs="Tahoma"/>
          <w:b/>
          <w:bCs/>
          <w:color w:val="0070C0"/>
          <w:sz w:val="24"/>
          <w:szCs w:val="24"/>
        </w:rPr>
      </w:pPr>
    </w:p>
    <w:p w14:paraId="58C54203" w14:textId="77777777" w:rsidR="001C6E48" w:rsidRDefault="001C6E48" w:rsidP="00856B93">
      <w:pPr>
        <w:pStyle w:val="Heading1"/>
        <w:spacing w:before="0" w:line="360" w:lineRule="auto"/>
        <w:rPr>
          <w:rFonts w:ascii="Tahoma" w:hAnsi="Tahoma" w:cs="Tahoma"/>
          <w:b/>
          <w:bCs/>
          <w:color w:val="0070C0"/>
          <w:sz w:val="24"/>
          <w:szCs w:val="24"/>
        </w:rPr>
      </w:pPr>
    </w:p>
    <w:p w14:paraId="228247D5" w14:textId="77777777" w:rsidR="001C6E48" w:rsidRDefault="001C6E48" w:rsidP="00856B93">
      <w:pPr>
        <w:pStyle w:val="Heading1"/>
        <w:spacing w:before="0" w:line="360" w:lineRule="auto"/>
        <w:rPr>
          <w:rFonts w:ascii="Tahoma" w:hAnsi="Tahoma" w:cs="Tahoma"/>
          <w:b/>
          <w:bCs/>
          <w:color w:val="0070C0"/>
          <w:sz w:val="24"/>
          <w:szCs w:val="24"/>
        </w:rPr>
      </w:pPr>
    </w:p>
    <w:p w14:paraId="595AEA6E" w14:textId="77777777" w:rsidR="001C6E48" w:rsidRDefault="001C6E48">
      <w:pPr>
        <w:rPr>
          <w:rFonts w:ascii="Tahoma" w:eastAsiaTheme="majorEastAsia" w:hAnsi="Tahoma" w:cs="Tahoma"/>
          <w:b/>
          <w:bCs/>
          <w:color w:val="0070C0"/>
          <w:sz w:val="24"/>
          <w:szCs w:val="24"/>
        </w:rPr>
      </w:pPr>
      <w:r>
        <w:rPr>
          <w:rFonts w:ascii="Tahoma" w:hAnsi="Tahoma" w:cs="Tahoma"/>
          <w:b/>
          <w:bCs/>
          <w:color w:val="0070C0"/>
          <w:sz w:val="24"/>
          <w:szCs w:val="24"/>
        </w:rPr>
        <w:br w:type="page"/>
      </w:r>
    </w:p>
    <w:p w14:paraId="6C2B84F5" w14:textId="7B0A6894" w:rsidR="00856B93" w:rsidRPr="001D5AE2" w:rsidRDefault="00856B93" w:rsidP="00856B93">
      <w:pPr>
        <w:pStyle w:val="Heading1"/>
        <w:spacing w:before="0" w:line="360" w:lineRule="auto"/>
        <w:rPr>
          <w:rFonts w:ascii="Tahoma" w:hAnsi="Tahoma" w:cs="Tahoma"/>
          <w:b/>
          <w:bCs/>
          <w:color w:val="0070C0"/>
          <w:sz w:val="24"/>
          <w:szCs w:val="24"/>
        </w:rPr>
      </w:pPr>
      <w:r w:rsidRPr="001D5AE2">
        <w:rPr>
          <w:rFonts w:ascii="Tahoma" w:hAnsi="Tahoma" w:cs="Tahoma"/>
          <w:b/>
          <w:bCs/>
          <w:color w:val="0070C0"/>
          <w:sz w:val="24"/>
          <w:szCs w:val="24"/>
        </w:rPr>
        <w:lastRenderedPageBreak/>
        <w:t>Chapter 3:</w:t>
      </w:r>
      <w:r w:rsidR="00735334" w:rsidRPr="001D5AE2">
        <w:rPr>
          <w:rFonts w:ascii="Tahoma" w:hAnsi="Tahoma" w:cs="Tahoma"/>
          <w:b/>
          <w:bCs/>
          <w:color w:val="0070C0"/>
          <w:sz w:val="24"/>
          <w:szCs w:val="24"/>
        </w:rPr>
        <w:tab/>
      </w:r>
      <w:r w:rsidRPr="001D5AE2">
        <w:rPr>
          <w:rFonts w:ascii="Tahoma" w:hAnsi="Tahoma" w:cs="Tahoma"/>
          <w:b/>
          <w:bCs/>
          <w:color w:val="0070C0"/>
          <w:sz w:val="24"/>
          <w:szCs w:val="24"/>
        </w:rPr>
        <w:t>The State Revenue, Expenditure, and Public Debt Trends (201</w:t>
      </w:r>
      <w:r w:rsidR="00B75FE6" w:rsidRPr="001D5AE2">
        <w:rPr>
          <w:rFonts w:ascii="Tahoma" w:hAnsi="Tahoma" w:cs="Tahoma"/>
          <w:b/>
          <w:bCs/>
          <w:color w:val="0070C0"/>
          <w:sz w:val="24"/>
          <w:szCs w:val="24"/>
        </w:rPr>
        <w:t>9</w:t>
      </w:r>
      <w:r w:rsidRPr="001D5AE2">
        <w:rPr>
          <w:rFonts w:ascii="Tahoma" w:hAnsi="Tahoma" w:cs="Tahoma"/>
          <w:b/>
          <w:bCs/>
          <w:color w:val="0070C0"/>
          <w:sz w:val="24"/>
          <w:szCs w:val="24"/>
        </w:rPr>
        <w:t xml:space="preserve"> - 20</w:t>
      </w:r>
      <w:r w:rsidR="00DD17F3" w:rsidRPr="001D5AE2">
        <w:rPr>
          <w:rFonts w:ascii="Tahoma" w:hAnsi="Tahoma" w:cs="Tahoma"/>
          <w:b/>
          <w:bCs/>
          <w:color w:val="0070C0"/>
          <w:sz w:val="24"/>
          <w:szCs w:val="24"/>
        </w:rPr>
        <w:t>2</w:t>
      </w:r>
      <w:r w:rsidR="00B75FE6" w:rsidRPr="001D5AE2">
        <w:rPr>
          <w:rFonts w:ascii="Tahoma" w:hAnsi="Tahoma" w:cs="Tahoma"/>
          <w:b/>
          <w:bCs/>
          <w:color w:val="0070C0"/>
          <w:sz w:val="24"/>
          <w:szCs w:val="24"/>
        </w:rPr>
        <w:t>3</w:t>
      </w:r>
      <w:r w:rsidRPr="001D5AE2">
        <w:rPr>
          <w:rFonts w:ascii="Tahoma" w:hAnsi="Tahoma" w:cs="Tahoma"/>
          <w:b/>
          <w:bCs/>
          <w:color w:val="0070C0"/>
          <w:sz w:val="24"/>
          <w:szCs w:val="24"/>
        </w:rPr>
        <w:t>)</w:t>
      </w:r>
      <w:bookmarkEnd w:id="2"/>
    </w:p>
    <w:p w14:paraId="5C988DE8" w14:textId="631CD4A4" w:rsidR="00856B93" w:rsidRPr="001D5AE2" w:rsidRDefault="00856B93" w:rsidP="00486000">
      <w:pPr>
        <w:spacing w:line="360" w:lineRule="auto"/>
        <w:jc w:val="both"/>
        <w:rPr>
          <w:rFonts w:ascii="Tahoma" w:hAnsi="Tahoma" w:cs="Tahoma"/>
        </w:rPr>
      </w:pPr>
      <w:r w:rsidRPr="001D5AE2">
        <w:rPr>
          <w:rFonts w:ascii="Tahoma" w:hAnsi="Tahoma" w:cs="Tahoma"/>
        </w:rPr>
        <w:t xml:space="preserve">The </w:t>
      </w:r>
      <w:r w:rsidR="00865C76" w:rsidRPr="001D5AE2">
        <w:rPr>
          <w:rFonts w:ascii="Tahoma" w:hAnsi="Tahoma" w:cs="Tahoma"/>
        </w:rPr>
        <w:t>Kebbi</w:t>
      </w:r>
      <w:r w:rsidR="00DD17F3" w:rsidRPr="001D5AE2">
        <w:rPr>
          <w:rFonts w:ascii="Tahoma" w:hAnsi="Tahoma" w:cs="Tahoma"/>
        </w:rPr>
        <w:t xml:space="preserve"> </w:t>
      </w:r>
      <w:r w:rsidRPr="001D5AE2">
        <w:rPr>
          <w:rFonts w:ascii="Tahoma" w:hAnsi="Tahoma" w:cs="Tahoma"/>
        </w:rPr>
        <w:t xml:space="preserve">State economy experienced </w:t>
      </w:r>
      <w:r w:rsidR="00512064" w:rsidRPr="001D5AE2">
        <w:rPr>
          <w:rFonts w:ascii="Tahoma" w:hAnsi="Tahoma" w:cs="Tahoma"/>
        </w:rPr>
        <w:t xml:space="preserve">a </w:t>
      </w:r>
      <w:r w:rsidR="00201BB6" w:rsidRPr="001D5AE2">
        <w:rPr>
          <w:rFonts w:ascii="Tahoma" w:hAnsi="Tahoma" w:cs="Tahoma"/>
        </w:rPr>
        <w:t>growth</w:t>
      </w:r>
      <w:r w:rsidR="00DD17F3" w:rsidRPr="001D5AE2">
        <w:rPr>
          <w:rFonts w:ascii="Tahoma" w:hAnsi="Tahoma" w:cs="Tahoma"/>
        </w:rPr>
        <w:t xml:space="preserve"> </w:t>
      </w:r>
      <w:r w:rsidR="00BA1B7D" w:rsidRPr="001D5AE2">
        <w:rPr>
          <w:rFonts w:ascii="Tahoma" w:hAnsi="Tahoma" w:cs="Tahoma"/>
        </w:rPr>
        <w:t xml:space="preserve">of </w:t>
      </w:r>
      <w:r w:rsidR="00DD17F3" w:rsidRPr="001D5AE2">
        <w:rPr>
          <w:rFonts w:ascii="Tahoma" w:hAnsi="Tahoma" w:cs="Tahoma"/>
        </w:rPr>
        <w:t>Internall</w:t>
      </w:r>
      <w:r w:rsidR="00933500" w:rsidRPr="001D5AE2">
        <w:rPr>
          <w:rFonts w:ascii="Tahoma" w:hAnsi="Tahoma" w:cs="Tahoma"/>
        </w:rPr>
        <w:t>y Generate Revenue (IGR)</w:t>
      </w:r>
      <w:r w:rsidR="00894D71" w:rsidRPr="001D5AE2">
        <w:rPr>
          <w:rFonts w:ascii="Tahoma" w:hAnsi="Tahoma" w:cs="Tahoma"/>
        </w:rPr>
        <w:t xml:space="preserve"> </w:t>
      </w:r>
      <w:r w:rsidR="003A2CDB" w:rsidRPr="001D5AE2">
        <w:rPr>
          <w:rFonts w:ascii="Tahoma" w:hAnsi="Tahoma" w:cs="Tahoma"/>
        </w:rPr>
        <w:t xml:space="preserve">by 59.31 percent </w:t>
      </w:r>
      <w:r w:rsidR="00DA5B7D" w:rsidRPr="001D5AE2">
        <w:rPr>
          <w:rFonts w:ascii="Tahoma" w:hAnsi="Tahoma" w:cs="Tahoma"/>
        </w:rPr>
        <w:t xml:space="preserve">from 2019 to </w:t>
      </w:r>
      <w:proofErr w:type="gramStart"/>
      <w:r w:rsidR="00DA5B7D" w:rsidRPr="001D5AE2">
        <w:rPr>
          <w:rFonts w:ascii="Tahoma" w:hAnsi="Tahoma" w:cs="Tahoma"/>
        </w:rPr>
        <w:t>2023,</w:t>
      </w:r>
      <w:proofErr w:type="gramEnd"/>
      <w:r w:rsidR="00DA5B7D" w:rsidRPr="001D5AE2">
        <w:rPr>
          <w:rFonts w:ascii="Tahoma" w:hAnsi="Tahoma" w:cs="Tahoma"/>
        </w:rPr>
        <w:t xml:space="preserve"> an </w:t>
      </w:r>
      <w:r w:rsidR="00B80AA5" w:rsidRPr="001D5AE2">
        <w:rPr>
          <w:rFonts w:ascii="Tahoma" w:hAnsi="Tahoma" w:cs="Tahoma"/>
        </w:rPr>
        <w:t>increase</w:t>
      </w:r>
      <w:r w:rsidR="00DA5B7D" w:rsidRPr="001D5AE2">
        <w:rPr>
          <w:rFonts w:ascii="Tahoma" w:hAnsi="Tahoma" w:cs="Tahoma"/>
        </w:rPr>
        <w:t xml:space="preserve"> </w:t>
      </w:r>
      <w:r w:rsidR="001C390C" w:rsidRPr="001D5AE2">
        <w:rPr>
          <w:rFonts w:ascii="Tahoma" w:hAnsi="Tahoma" w:cs="Tahoma"/>
        </w:rPr>
        <w:t xml:space="preserve">was due to the </w:t>
      </w:r>
      <w:r w:rsidR="00224575" w:rsidRPr="001D5AE2">
        <w:rPr>
          <w:rFonts w:ascii="Tahoma" w:hAnsi="Tahoma" w:cs="Tahoma"/>
        </w:rPr>
        <w:t xml:space="preserve">implementations new policies that strengthen </w:t>
      </w:r>
      <w:r w:rsidR="00DF4B7E" w:rsidRPr="001D5AE2">
        <w:rPr>
          <w:rFonts w:ascii="Tahoma" w:hAnsi="Tahoma" w:cs="Tahoma"/>
        </w:rPr>
        <w:t xml:space="preserve">the </w:t>
      </w:r>
      <w:r w:rsidR="00D45F5F" w:rsidRPr="001D5AE2">
        <w:rPr>
          <w:rFonts w:ascii="Tahoma" w:hAnsi="Tahoma" w:cs="Tahoma"/>
        </w:rPr>
        <w:t xml:space="preserve">Kebbi State </w:t>
      </w:r>
      <w:r w:rsidR="003F0C6F" w:rsidRPr="001D5AE2">
        <w:rPr>
          <w:rFonts w:ascii="Tahoma" w:hAnsi="Tahoma" w:cs="Tahoma"/>
        </w:rPr>
        <w:t>internal revenue</w:t>
      </w:r>
      <w:r w:rsidR="00512064" w:rsidRPr="001D5AE2">
        <w:rPr>
          <w:rFonts w:ascii="Tahoma" w:hAnsi="Tahoma" w:cs="Tahoma"/>
        </w:rPr>
        <w:t xml:space="preserve"> </w:t>
      </w:r>
      <w:r w:rsidR="002C717A" w:rsidRPr="001D5AE2">
        <w:rPr>
          <w:rFonts w:ascii="Tahoma" w:hAnsi="Tahoma" w:cs="Tahoma"/>
        </w:rPr>
        <w:t>that held within the period</w:t>
      </w:r>
      <w:r w:rsidRPr="001D5AE2">
        <w:rPr>
          <w:rFonts w:ascii="Tahoma" w:hAnsi="Tahoma" w:cs="Tahoma"/>
        </w:rPr>
        <w:t>.</w:t>
      </w:r>
    </w:p>
    <w:p w14:paraId="6388F47E" w14:textId="7CAEF300" w:rsidR="00856B93" w:rsidRPr="001D5AE2" w:rsidRDefault="00856B93" w:rsidP="00486000">
      <w:pPr>
        <w:spacing w:after="0" w:line="360" w:lineRule="auto"/>
        <w:ind w:left="567" w:hanging="567"/>
        <w:jc w:val="both"/>
        <w:rPr>
          <w:rFonts w:ascii="Tahoma" w:hAnsi="Tahoma" w:cs="Tahoma"/>
          <w:b/>
          <w:iCs/>
        </w:rPr>
      </w:pPr>
      <w:r w:rsidRPr="001D5AE2">
        <w:rPr>
          <w:rFonts w:ascii="Tahoma" w:hAnsi="Tahoma" w:cs="Tahoma"/>
          <w:b/>
          <w:iCs/>
        </w:rPr>
        <w:t>3.</w:t>
      </w:r>
      <w:r w:rsidR="00056439" w:rsidRPr="001D5AE2">
        <w:rPr>
          <w:rFonts w:ascii="Tahoma" w:hAnsi="Tahoma" w:cs="Tahoma"/>
          <w:b/>
          <w:iCs/>
        </w:rPr>
        <w:t>0</w:t>
      </w:r>
      <w:r w:rsidRPr="001D5AE2">
        <w:rPr>
          <w:rFonts w:ascii="Tahoma" w:hAnsi="Tahoma" w:cs="Tahoma"/>
          <w:b/>
          <w:iCs/>
        </w:rPr>
        <w:tab/>
        <w:t>Revenue and Expenditure</w:t>
      </w:r>
    </w:p>
    <w:p w14:paraId="18185F3E" w14:textId="38C77201" w:rsidR="00856B93" w:rsidRPr="001D5AE2" w:rsidRDefault="005D22E4" w:rsidP="00486000">
      <w:pPr>
        <w:spacing w:line="360" w:lineRule="auto"/>
        <w:jc w:val="both"/>
        <w:rPr>
          <w:rFonts w:ascii="Tahoma" w:hAnsi="Tahoma" w:cs="Tahoma"/>
          <w:bCs/>
          <w:iCs/>
        </w:rPr>
      </w:pPr>
      <w:r w:rsidRPr="001D5AE2">
        <w:rPr>
          <w:rFonts w:ascii="Tahoma" w:hAnsi="Tahoma" w:cs="Tahoma"/>
          <w:b/>
          <w:iCs/>
        </w:rPr>
        <w:t>3.1</w:t>
      </w:r>
      <w:r w:rsidRPr="001D5AE2">
        <w:rPr>
          <w:rFonts w:ascii="Tahoma" w:hAnsi="Tahoma" w:cs="Tahoma"/>
          <w:b/>
          <w:iCs/>
        </w:rPr>
        <w:tab/>
      </w:r>
      <w:r w:rsidR="00856B93" w:rsidRPr="001D5AE2">
        <w:rPr>
          <w:rFonts w:ascii="Tahoma" w:hAnsi="Tahoma" w:cs="Tahoma"/>
          <w:b/>
          <w:iCs/>
        </w:rPr>
        <w:t xml:space="preserve">Revenue - </w:t>
      </w:r>
      <w:r w:rsidR="00856B93" w:rsidRPr="001D5AE2">
        <w:rPr>
          <w:rFonts w:ascii="Tahoma" w:hAnsi="Tahoma" w:cs="Tahoma"/>
          <w:bCs/>
          <w:iCs/>
        </w:rPr>
        <w:t xml:space="preserve">The State’s economy comprises Statutory Allocation, Derivation, VAT Allocation, IGR, and Capital Receipt. </w:t>
      </w:r>
      <w:r w:rsidR="00506CDA" w:rsidRPr="001D5AE2">
        <w:rPr>
          <w:rFonts w:ascii="Tahoma" w:hAnsi="Tahoma" w:cs="Tahoma"/>
          <w:bCs/>
          <w:iCs/>
        </w:rPr>
        <w:t>The</w:t>
      </w:r>
      <w:r w:rsidR="00856B93" w:rsidRPr="001D5AE2">
        <w:rPr>
          <w:rFonts w:ascii="Tahoma" w:hAnsi="Tahoma" w:cs="Tahoma"/>
          <w:bCs/>
          <w:iCs/>
        </w:rPr>
        <w:t xml:space="preserve"> </w:t>
      </w:r>
      <w:r w:rsidR="00702C3B" w:rsidRPr="001D5AE2">
        <w:rPr>
          <w:rFonts w:ascii="Tahoma" w:hAnsi="Tahoma" w:cs="Tahoma"/>
          <w:bCs/>
          <w:iCs/>
        </w:rPr>
        <w:t>total r</w:t>
      </w:r>
      <w:r w:rsidR="00856B93" w:rsidRPr="001D5AE2">
        <w:rPr>
          <w:rFonts w:ascii="Tahoma" w:hAnsi="Tahoma" w:cs="Tahoma"/>
          <w:bCs/>
          <w:iCs/>
        </w:rPr>
        <w:t>evenue amounted to</w:t>
      </w:r>
      <w:r w:rsidR="00E74691" w:rsidRPr="001D5AE2">
        <w:rPr>
          <w:rFonts w:ascii="Tahoma" w:hAnsi="Tahoma" w:cs="Tahoma"/>
          <w:bCs/>
          <w:iCs/>
        </w:rPr>
        <w:t xml:space="preserve"> N</w:t>
      </w:r>
      <w:r w:rsidR="00702C3B" w:rsidRPr="001D5AE2">
        <w:rPr>
          <w:rFonts w:ascii="Tahoma" w:hAnsi="Tahoma" w:cs="Tahoma"/>
          <w:bCs/>
          <w:iCs/>
        </w:rPr>
        <w:t>65</w:t>
      </w:r>
      <w:r w:rsidR="0050231A" w:rsidRPr="001D5AE2">
        <w:rPr>
          <w:rFonts w:ascii="Tahoma" w:hAnsi="Tahoma" w:cs="Tahoma"/>
          <w:bCs/>
          <w:iCs/>
        </w:rPr>
        <w:t xml:space="preserve">,104 </w:t>
      </w:r>
      <w:r w:rsidR="00A60C6F" w:rsidRPr="001D5AE2">
        <w:rPr>
          <w:rFonts w:ascii="Tahoma" w:hAnsi="Tahoma" w:cs="Tahoma"/>
          <w:bCs/>
          <w:iCs/>
        </w:rPr>
        <w:t>million in 20</w:t>
      </w:r>
      <w:r w:rsidR="0050231A" w:rsidRPr="001D5AE2">
        <w:rPr>
          <w:rFonts w:ascii="Tahoma" w:hAnsi="Tahoma" w:cs="Tahoma"/>
          <w:bCs/>
          <w:iCs/>
        </w:rPr>
        <w:t>19</w:t>
      </w:r>
      <w:r w:rsidR="00A60C6F" w:rsidRPr="001D5AE2">
        <w:rPr>
          <w:rFonts w:ascii="Tahoma" w:hAnsi="Tahoma" w:cs="Tahoma"/>
          <w:bCs/>
          <w:iCs/>
        </w:rPr>
        <w:t>,</w:t>
      </w:r>
      <w:r w:rsidR="00856B93" w:rsidRPr="001D5AE2">
        <w:rPr>
          <w:rFonts w:ascii="Tahoma" w:hAnsi="Tahoma" w:cs="Tahoma"/>
          <w:bCs/>
          <w:iCs/>
        </w:rPr>
        <w:t xml:space="preserve"> </w:t>
      </w:r>
      <w:r w:rsidR="00EB6521" w:rsidRPr="001D5AE2">
        <w:rPr>
          <w:rFonts w:ascii="Tahoma" w:hAnsi="Tahoma" w:cs="Tahoma"/>
          <w:bCs/>
          <w:iCs/>
        </w:rPr>
        <w:t>N</w:t>
      </w:r>
      <w:r w:rsidR="0050231A" w:rsidRPr="001D5AE2">
        <w:rPr>
          <w:rFonts w:ascii="Tahoma" w:hAnsi="Tahoma" w:cs="Tahoma"/>
          <w:bCs/>
          <w:iCs/>
        </w:rPr>
        <w:t xml:space="preserve">62,102 </w:t>
      </w:r>
      <w:r w:rsidR="00EB6521" w:rsidRPr="001D5AE2">
        <w:rPr>
          <w:rFonts w:ascii="Tahoma" w:hAnsi="Tahoma" w:cs="Tahoma"/>
          <w:bCs/>
          <w:iCs/>
        </w:rPr>
        <w:t>million in 202</w:t>
      </w:r>
      <w:r w:rsidR="0050231A" w:rsidRPr="001D5AE2">
        <w:rPr>
          <w:rFonts w:ascii="Tahoma" w:hAnsi="Tahoma" w:cs="Tahoma"/>
          <w:bCs/>
          <w:iCs/>
        </w:rPr>
        <w:t>0</w:t>
      </w:r>
      <w:r w:rsidR="00EB6521" w:rsidRPr="001D5AE2">
        <w:rPr>
          <w:rFonts w:ascii="Tahoma" w:hAnsi="Tahoma" w:cs="Tahoma"/>
          <w:bCs/>
          <w:iCs/>
        </w:rPr>
        <w:t xml:space="preserve">, </w:t>
      </w:r>
      <w:r w:rsidR="00AC6128" w:rsidRPr="001D5AE2">
        <w:rPr>
          <w:rFonts w:ascii="Tahoma" w:hAnsi="Tahoma" w:cs="Tahoma"/>
          <w:bCs/>
          <w:iCs/>
        </w:rPr>
        <w:t>N</w:t>
      </w:r>
      <w:r w:rsidR="000D1BAD" w:rsidRPr="001D5AE2">
        <w:rPr>
          <w:rFonts w:ascii="Tahoma" w:hAnsi="Tahoma" w:cs="Tahoma"/>
          <w:bCs/>
          <w:iCs/>
        </w:rPr>
        <w:t xml:space="preserve">73,950 </w:t>
      </w:r>
      <w:r w:rsidR="00856B93" w:rsidRPr="001D5AE2">
        <w:rPr>
          <w:rFonts w:ascii="Tahoma" w:hAnsi="Tahoma" w:cs="Tahoma"/>
          <w:bCs/>
          <w:iCs/>
        </w:rPr>
        <w:t>million</w:t>
      </w:r>
      <w:r w:rsidR="00CA45B0" w:rsidRPr="001D5AE2">
        <w:rPr>
          <w:rFonts w:ascii="Tahoma" w:hAnsi="Tahoma" w:cs="Tahoma"/>
          <w:bCs/>
          <w:iCs/>
        </w:rPr>
        <w:t xml:space="preserve"> in 202</w:t>
      </w:r>
      <w:r w:rsidR="000D1BAD" w:rsidRPr="001D5AE2">
        <w:rPr>
          <w:rFonts w:ascii="Tahoma" w:hAnsi="Tahoma" w:cs="Tahoma"/>
          <w:bCs/>
          <w:iCs/>
        </w:rPr>
        <w:t>1</w:t>
      </w:r>
      <w:r w:rsidR="00CA45B0" w:rsidRPr="001D5AE2">
        <w:rPr>
          <w:rFonts w:ascii="Tahoma" w:hAnsi="Tahoma" w:cs="Tahoma"/>
          <w:bCs/>
          <w:iCs/>
        </w:rPr>
        <w:t>, N</w:t>
      </w:r>
      <w:r w:rsidR="000D1BAD" w:rsidRPr="001D5AE2">
        <w:rPr>
          <w:rFonts w:ascii="Tahoma" w:hAnsi="Tahoma" w:cs="Tahoma"/>
          <w:bCs/>
          <w:iCs/>
        </w:rPr>
        <w:t xml:space="preserve">85,155 </w:t>
      </w:r>
      <w:r w:rsidR="00CA45B0" w:rsidRPr="001D5AE2">
        <w:rPr>
          <w:rFonts w:ascii="Tahoma" w:hAnsi="Tahoma" w:cs="Tahoma"/>
          <w:bCs/>
          <w:iCs/>
        </w:rPr>
        <w:t>million in 20</w:t>
      </w:r>
      <w:r w:rsidR="000D1BAD" w:rsidRPr="001D5AE2">
        <w:rPr>
          <w:rFonts w:ascii="Tahoma" w:hAnsi="Tahoma" w:cs="Tahoma"/>
          <w:bCs/>
          <w:iCs/>
        </w:rPr>
        <w:t>22</w:t>
      </w:r>
      <w:r w:rsidR="00CA45B0" w:rsidRPr="001D5AE2">
        <w:rPr>
          <w:rFonts w:ascii="Tahoma" w:hAnsi="Tahoma" w:cs="Tahoma"/>
          <w:bCs/>
          <w:iCs/>
        </w:rPr>
        <w:t xml:space="preserve">, </w:t>
      </w:r>
      <w:r w:rsidR="00A60C6F" w:rsidRPr="001D5AE2">
        <w:rPr>
          <w:rFonts w:ascii="Tahoma" w:hAnsi="Tahoma" w:cs="Tahoma"/>
          <w:bCs/>
          <w:iCs/>
        </w:rPr>
        <w:t xml:space="preserve">and </w:t>
      </w:r>
      <w:r w:rsidR="00CA45B0" w:rsidRPr="001D5AE2">
        <w:rPr>
          <w:rFonts w:ascii="Tahoma" w:hAnsi="Tahoma" w:cs="Tahoma"/>
          <w:bCs/>
          <w:iCs/>
        </w:rPr>
        <w:t>N</w:t>
      </w:r>
      <w:r w:rsidR="00AE725E" w:rsidRPr="001D5AE2">
        <w:rPr>
          <w:rFonts w:ascii="Tahoma" w:hAnsi="Tahoma" w:cs="Tahoma"/>
          <w:bCs/>
          <w:iCs/>
        </w:rPr>
        <w:t xml:space="preserve">116,139 </w:t>
      </w:r>
      <w:r w:rsidR="00CA45B0" w:rsidRPr="001D5AE2">
        <w:rPr>
          <w:rFonts w:ascii="Tahoma" w:hAnsi="Tahoma" w:cs="Tahoma"/>
          <w:bCs/>
          <w:iCs/>
        </w:rPr>
        <w:t>million in 20</w:t>
      </w:r>
      <w:r w:rsidR="00AE725E" w:rsidRPr="001D5AE2">
        <w:rPr>
          <w:rFonts w:ascii="Tahoma" w:hAnsi="Tahoma" w:cs="Tahoma"/>
          <w:bCs/>
          <w:iCs/>
        </w:rPr>
        <w:t>23</w:t>
      </w:r>
      <w:r w:rsidR="00CA45B0" w:rsidRPr="001D5AE2">
        <w:rPr>
          <w:rFonts w:ascii="Tahoma" w:hAnsi="Tahoma" w:cs="Tahoma"/>
          <w:bCs/>
          <w:iCs/>
        </w:rPr>
        <w:t>, respectively</w:t>
      </w:r>
      <w:r w:rsidR="00856B93" w:rsidRPr="001D5AE2">
        <w:rPr>
          <w:rFonts w:ascii="Tahoma" w:hAnsi="Tahoma" w:cs="Tahoma"/>
          <w:bCs/>
          <w:iCs/>
        </w:rPr>
        <w:t>.</w:t>
      </w:r>
    </w:p>
    <w:p w14:paraId="158CF3EF" w14:textId="7E0170CF" w:rsidR="005D22E4" w:rsidRPr="001D5AE2" w:rsidRDefault="005D22E4" w:rsidP="00486000">
      <w:pPr>
        <w:spacing w:line="360" w:lineRule="auto"/>
        <w:jc w:val="both"/>
        <w:rPr>
          <w:rFonts w:ascii="Tahoma" w:hAnsi="Tahoma" w:cs="Tahoma"/>
          <w:bCs/>
          <w:iCs/>
        </w:rPr>
      </w:pPr>
      <w:r w:rsidRPr="001D5AE2">
        <w:rPr>
          <w:rFonts w:ascii="Tahoma" w:hAnsi="Tahoma" w:cs="Tahoma"/>
          <w:b/>
          <w:iCs/>
        </w:rPr>
        <w:t>Gross FAAC Allocation:</w:t>
      </w:r>
      <w:r w:rsidRPr="001D5AE2">
        <w:rPr>
          <w:rFonts w:ascii="Tahoma" w:hAnsi="Tahoma" w:cs="Tahoma"/>
          <w:bCs/>
          <w:iCs/>
        </w:rPr>
        <w:t xml:space="preserve"> Kebbi recorded </w:t>
      </w:r>
      <w:r w:rsidR="0040524F" w:rsidRPr="001D5AE2">
        <w:rPr>
          <w:rFonts w:ascii="Tahoma" w:hAnsi="Tahoma" w:cs="Tahoma"/>
          <w:bCs/>
          <w:iCs/>
        </w:rPr>
        <w:t xml:space="preserve">over the </w:t>
      </w:r>
      <w:r w:rsidRPr="001D5AE2">
        <w:rPr>
          <w:rFonts w:ascii="Tahoma" w:hAnsi="Tahoma" w:cs="Tahoma"/>
          <w:bCs/>
          <w:iCs/>
        </w:rPr>
        <w:t xml:space="preserve">period relative to the preceding year, as the FAAC Allocations </w:t>
      </w:r>
      <w:r w:rsidR="006274F9" w:rsidRPr="001D5AE2">
        <w:rPr>
          <w:rFonts w:ascii="Tahoma" w:hAnsi="Tahoma" w:cs="Tahoma"/>
          <w:bCs/>
          <w:iCs/>
        </w:rPr>
        <w:t xml:space="preserve">amounted </w:t>
      </w:r>
      <w:r w:rsidR="00506CDA" w:rsidRPr="001D5AE2">
        <w:rPr>
          <w:rFonts w:ascii="Tahoma" w:hAnsi="Tahoma" w:cs="Tahoma"/>
          <w:bCs/>
          <w:iCs/>
        </w:rPr>
        <w:t>to</w:t>
      </w:r>
      <w:r w:rsidR="006274F9" w:rsidRPr="001D5AE2">
        <w:rPr>
          <w:rFonts w:ascii="Tahoma" w:hAnsi="Tahoma" w:cs="Tahoma"/>
          <w:bCs/>
          <w:iCs/>
        </w:rPr>
        <w:t xml:space="preserve"> N57</w:t>
      </w:r>
      <w:r w:rsidR="00EB6521" w:rsidRPr="001D5AE2">
        <w:rPr>
          <w:rFonts w:ascii="Tahoma" w:hAnsi="Tahoma" w:cs="Tahoma"/>
          <w:bCs/>
          <w:iCs/>
        </w:rPr>
        <w:t>,</w:t>
      </w:r>
      <w:r w:rsidR="006274F9" w:rsidRPr="001D5AE2">
        <w:rPr>
          <w:rFonts w:ascii="Tahoma" w:hAnsi="Tahoma" w:cs="Tahoma"/>
          <w:bCs/>
          <w:iCs/>
        </w:rPr>
        <w:t>737 million</w:t>
      </w:r>
      <w:r w:rsidR="00EB6521" w:rsidRPr="001D5AE2">
        <w:rPr>
          <w:rFonts w:ascii="Tahoma" w:hAnsi="Tahoma" w:cs="Tahoma"/>
          <w:bCs/>
          <w:iCs/>
        </w:rPr>
        <w:t xml:space="preserve"> in 2019, </w:t>
      </w:r>
      <w:r w:rsidR="006274F9" w:rsidRPr="001D5AE2">
        <w:rPr>
          <w:rFonts w:ascii="Tahoma" w:hAnsi="Tahoma" w:cs="Tahoma"/>
          <w:bCs/>
          <w:iCs/>
        </w:rPr>
        <w:t>N54,126 million</w:t>
      </w:r>
      <w:r w:rsidR="00EB6521" w:rsidRPr="001D5AE2">
        <w:rPr>
          <w:rFonts w:ascii="Tahoma" w:hAnsi="Tahoma" w:cs="Tahoma"/>
          <w:bCs/>
          <w:iCs/>
        </w:rPr>
        <w:t xml:space="preserve"> in 2020</w:t>
      </w:r>
      <w:r w:rsidR="006274F9" w:rsidRPr="001D5AE2">
        <w:rPr>
          <w:rFonts w:ascii="Tahoma" w:hAnsi="Tahoma" w:cs="Tahoma"/>
          <w:bCs/>
          <w:iCs/>
        </w:rPr>
        <w:t xml:space="preserve">, </w:t>
      </w:r>
      <w:r w:rsidR="00EB6521" w:rsidRPr="001D5AE2">
        <w:rPr>
          <w:rFonts w:ascii="Tahoma" w:hAnsi="Tahoma" w:cs="Tahoma"/>
          <w:bCs/>
          <w:iCs/>
        </w:rPr>
        <w:t xml:space="preserve">N57,676 million in 2021, </w:t>
      </w:r>
      <w:r w:rsidR="00066B8C" w:rsidRPr="001D5AE2">
        <w:rPr>
          <w:rFonts w:ascii="Tahoma" w:hAnsi="Tahoma" w:cs="Tahoma"/>
          <w:bCs/>
          <w:iCs/>
        </w:rPr>
        <w:t xml:space="preserve">N68,689 million in 2022, </w:t>
      </w:r>
      <w:r w:rsidR="005F37AE" w:rsidRPr="001D5AE2">
        <w:rPr>
          <w:rFonts w:ascii="Tahoma" w:hAnsi="Tahoma" w:cs="Tahoma"/>
          <w:bCs/>
          <w:iCs/>
        </w:rPr>
        <w:t xml:space="preserve">and N81,191 million in 2023, </w:t>
      </w:r>
      <w:r w:rsidR="006274F9" w:rsidRPr="001D5AE2">
        <w:rPr>
          <w:rFonts w:ascii="Tahoma" w:hAnsi="Tahoma" w:cs="Tahoma"/>
          <w:bCs/>
          <w:iCs/>
        </w:rPr>
        <w:t>respectively</w:t>
      </w:r>
      <w:r w:rsidRPr="001D5AE2">
        <w:rPr>
          <w:rFonts w:ascii="Tahoma" w:hAnsi="Tahoma" w:cs="Tahoma"/>
          <w:bCs/>
          <w:iCs/>
        </w:rPr>
        <w:t>.</w:t>
      </w:r>
    </w:p>
    <w:p w14:paraId="5B76DC75" w14:textId="1BD3FDAA" w:rsidR="005D22E4" w:rsidRPr="001D5AE2" w:rsidRDefault="005D22E4" w:rsidP="005D22E4">
      <w:pPr>
        <w:spacing w:line="360" w:lineRule="auto"/>
        <w:jc w:val="both"/>
        <w:rPr>
          <w:rFonts w:ascii="Tahoma" w:hAnsi="Tahoma" w:cs="Tahoma"/>
          <w:bCs/>
          <w:iCs/>
        </w:rPr>
      </w:pPr>
      <w:r w:rsidRPr="001D5AE2">
        <w:rPr>
          <w:rFonts w:ascii="Tahoma" w:hAnsi="Tahoma" w:cs="Tahoma"/>
          <w:b/>
          <w:iCs/>
        </w:rPr>
        <w:t>Internally Generated Revenue:</w:t>
      </w:r>
      <w:r w:rsidRPr="001D5AE2">
        <w:rPr>
          <w:rFonts w:ascii="Tahoma" w:hAnsi="Tahoma" w:cs="Tahoma"/>
          <w:bCs/>
          <w:iCs/>
        </w:rPr>
        <w:t xml:space="preserve"> Kebbi witnessed modest growth and significant improvement in the State IGR, where the IGR grew from </w:t>
      </w:r>
      <w:r w:rsidR="00CD0AA7" w:rsidRPr="001D5AE2">
        <w:rPr>
          <w:rFonts w:ascii="Tahoma" w:hAnsi="Tahoma" w:cs="Tahoma"/>
          <w:bCs/>
          <w:iCs/>
        </w:rPr>
        <w:t>N7,367 million in 2019</w:t>
      </w:r>
      <w:r w:rsidR="00EB6521" w:rsidRPr="001D5AE2">
        <w:rPr>
          <w:rFonts w:ascii="Tahoma" w:hAnsi="Tahoma" w:cs="Tahoma"/>
          <w:bCs/>
          <w:iCs/>
        </w:rPr>
        <w:t xml:space="preserve">, </w:t>
      </w:r>
      <w:r w:rsidR="00CD0AA7" w:rsidRPr="001D5AE2">
        <w:rPr>
          <w:rFonts w:ascii="Tahoma" w:hAnsi="Tahoma" w:cs="Tahoma"/>
          <w:bCs/>
          <w:iCs/>
        </w:rPr>
        <w:t>N7,976 million in 2020</w:t>
      </w:r>
      <w:r w:rsidR="00EB6521" w:rsidRPr="001D5AE2">
        <w:rPr>
          <w:rFonts w:ascii="Tahoma" w:hAnsi="Tahoma" w:cs="Tahoma"/>
          <w:bCs/>
          <w:iCs/>
        </w:rPr>
        <w:t>, N11,851 million in 2021</w:t>
      </w:r>
      <w:r w:rsidRPr="001D5AE2">
        <w:rPr>
          <w:rFonts w:ascii="Tahoma" w:hAnsi="Tahoma" w:cs="Tahoma"/>
          <w:bCs/>
          <w:iCs/>
        </w:rPr>
        <w:t>,</w:t>
      </w:r>
      <w:r w:rsidR="00681DB2" w:rsidRPr="001D5AE2">
        <w:rPr>
          <w:rFonts w:ascii="Tahoma" w:hAnsi="Tahoma" w:cs="Tahoma"/>
          <w:bCs/>
          <w:iCs/>
        </w:rPr>
        <w:t xml:space="preserve"> N</w:t>
      </w:r>
      <w:r w:rsidR="00DB23CA" w:rsidRPr="001D5AE2">
        <w:rPr>
          <w:rFonts w:ascii="Tahoma" w:hAnsi="Tahoma" w:cs="Tahoma"/>
          <w:bCs/>
          <w:iCs/>
        </w:rPr>
        <w:t>8,429</w:t>
      </w:r>
      <w:r w:rsidR="00BD3603" w:rsidRPr="001D5AE2">
        <w:rPr>
          <w:rFonts w:ascii="Tahoma" w:hAnsi="Tahoma" w:cs="Tahoma"/>
          <w:bCs/>
          <w:iCs/>
        </w:rPr>
        <w:t xml:space="preserve"> million in 2022</w:t>
      </w:r>
      <w:r w:rsidR="006E51D9" w:rsidRPr="001D5AE2">
        <w:rPr>
          <w:rFonts w:ascii="Tahoma" w:hAnsi="Tahoma" w:cs="Tahoma"/>
          <w:bCs/>
          <w:iCs/>
        </w:rPr>
        <w:t xml:space="preserve">, and </w:t>
      </w:r>
      <w:r w:rsidR="000A41B8" w:rsidRPr="001D5AE2">
        <w:rPr>
          <w:rFonts w:ascii="Tahoma" w:hAnsi="Tahoma" w:cs="Tahoma"/>
          <w:bCs/>
          <w:iCs/>
        </w:rPr>
        <w:t>N</w:t>
      </w:r>
      <w:r w:rsidR="007B0342" w:rsidRPr="001D5AE2">
        <w:rPr>
          <w:rFonts w:ascii="Tahoma" w:hAnsi="Tahoma" w:cs="Tahoma"/>
          <w:bCs/>
          <w:iCs/>
        </w:rPr>
        <w:t>11,</w:t>
      </w:r>
      <w:r w:rsidR="00347CC8" w:rsidRPr="001D5AE2">
        <w:rPr>
          <w:rFonts w:ascii="Tahoma" w:hAnsi="Tahoma" w:cs="Tahoma"/>
          <w:bCs/>
          <w:iCs/>
        </w:rPr>
        <w:t>737 million in 2023</w:t>
      </w:r>
      <w:r w:rsidR="00CD0AA7" w:rsidRPr="001D5AE2">
        <w:rPr>
          <w:rFonts w:ascii="Tahoma" w:hAnsi="Tahoma" w:cs="Tahoma"/>
          <w:bCs/>
          <w:iCs/>
        </w:rPr>
        <w:t xml:space="preserve">. </w:t>
      </w:r>
      <w:r w:rsidR="00B94171" w:rsidRPr="001D5AE2">
        <w:rPr>
          <w:rFonts w:ascii="Tahoma" w:hAnsi="Tahoma" w:cs="Tahoma"/>
          <w:bCs/>
          <w:iCs/>
        </w:rPr>
        <w:t>Accordingly,</w:t>
      </w:r>
      <w:r w:rsidRPr="001D5AE2">
        <w:rPr>
          <w:rFonts w:ascii="Tahoma" w:hAnsi="Tahoma" w:cs="Tahoma"/>
          <w:bCs/>
          <w:iCs/>
        </w:rPr>
        <w:t xml:space="preserve"> </w:t>
      </w:r>
      <w:r w:rsidR="00353404" w:rsidRPr="001D5AE2">
        <w:rPr>
          <w:rFonts w:ascii="Tahoma" w:hAnsi="Tahoma" w:cs="Tahoma"/>
          <w:bCs/>
          <w:iCs/>
        </w:rPr>
        <w:t>the</w:t>
      </w:r>
      <w:r w:rsidRPr="001D5AE2">
        <w:rPr>
          <w:rFonts w:ascii="Tahoma" w:hAnsi="Tahoma" w:cs="Tahoma"/>
          <w:bCs/>
          <w:iCs/>
        </w:rPr>
        <w:t xml:space="preserve"> improvement in IGR </w:t>
      </w:r>
      <w:r w:rsidR="00347CC8" w:rsidRPr="001D5AE2">
        <w:rPr>
          <w:rFonts w:ascii="Tahoma" w:hAnsi="Tahoma" w:cs="Tahoma"/>
          <w:bCs/>
          <w:iCs/>
        </w:rPr>
        <w:t xml:space="preserve">after </w:t>
      </w:r>
      <w:r w:rsidRPr="001D5AE2">
        <w:rPr>
          <w:rFonts w:ascii="Tahoma" w:hAnsi="Tahoma" w:cs="Tahoma"/>
          <w:bCs/>
          <w:iCs/>
        </w:rPr>
        <w:t>pandemic is mainly due to the tax reforms aimed at improving collection efficiency and broadening the tax revenue base.</w:t>
      </w:r>
      <w:r w:rsidR="006310A0" w:rsidRPr="001D5AE2">
        <w:rPr>
          <w:rFonts w:ascii="Tahoma" w:hAnsi="Tahoma" w:cs="Tahoma"/>
          <w:bCs/>
          <w:iCs/>
        </w:rPr>
        <w:t xml:space="preserve"> The </w:t>
      </w:r>
      <w:r w:rsidR="00C203E7" w:rsidRPr="001D5AE2">
        <w:rPr>
          <w:rFonts w:ascii="Tahoma" w:hAnsi="Tahoma" w:cs="Tahoma"/>
          <w:bCs/>
          <w:iCs/>
        </w:rPr>
        <w:t>Kebbi State recorded a g</w:t>
      </w:r>
      <w:r w:rsidR="006310A0" w:rsidRPr="001D5AE2">
        <w:rPr>
          <w:rFonts w:ascii="Tahoma" w:hAnsi="Tahoma" w:cs="Tahoma"/>
          <w:bCs/>
          <w:iCs/>
        </w:rPr>
        <w:t>rants</w:t>
      </w:r>
      <w:r w:rsidR="00C203E7" w:rsidRPr="001D5AE2">
        <w:rPr>
          <w:rFonts w:ascii="Tahoma" w:hAnsi="Tahoma" w:cs="Tahoma"/>
          <w:bCs/>
          <w:iCs/>
        </w:rPr>
        <w:t xml:space="preserve"> of N4</w:t>
      </w:r>
      <w:proofErr w:type="gramStart"/>
      <w:r w:rsidR="00C203E7" w:rsidRPr="001D5AE2">
        <w:rPr>
          <w:rFonts w:ascii="Tahoma" w:hAnsi="Tahoma" w:cs="Tahoma"/>
          <w:bCs/>
          <w:iCs/>
        </w:rPr>
        <w:t>,423</w:t>
      </w:r>
      <w:proofErr w:type="gramEnd"/>
      <w:r w:rsidR="00C203E7" w:rsidRPr="001D5AE2">
        <w:rPr>
          <w:rFonts w:ascii="Tahoma" w:hAnsi="Tahoma" w:cs="Tahoma"/>
          <w:bCs/>
          <w:iCs/>
        </w:rPr>
        <w:t xml:space="preserve"> million in 202</w:t>
      </w:r>
      <w:r w:rsidR="001257D4" w:rsidRPr="001D5AE2">
        <w:rPr>
          <w:rFonts w:ascii="Tahoma" w:hAnsi="Tahoma" w:cs="Tahoma"/>
          <w:bCs/>
          <w:iCs/>
        </w:rPr>
        <w:t>1, N7,857 million in 2022 and N23,211 million in 2023 respectively.</w:t>
      </w:r>
      <w:r w:rsidR="006310A0" w:rsidRPr="001D5AE2">
        <w:rPr>
          <w:rFonts w:ascii="Tahoma" w:hAnsi="Tahoma" w:cs="Tahoma"/>
          <w:bCs/>
          <w:iCs/>
        </w:rPr>
        <w:t xml:space="preserve"> </w:t>
      </w:r>
    </w:p>
    <w:p w14:paraId="1F2CC9EF" w14:textId="62470E96" w:rsidR="00FE71C2" w:rsidRPr="001D5AE2" w:rsidRDefault="00212DE0" w:rsidP="00212DE0">
      <w:pPr>
        <w:spacing w:after="0" w:line="360" w:lineRule="auto"/>
        <w:jc w:val="both"/>
        <w:rPr>
          <w:rFonts w:ascii="Tahoma" w:hAnsi="Tahoma" w:cs="Tahoma"/>
          <w:b/>
          <w:iCs/>
        </w:rPr>
      </w:pPr>
      <w:r w:rsidRPr="001D5AE2">
        <w:rPr>
          <w:rFonts w:ascii="Tahoma" w:hAnsi="Tahoma" w:cs="Tahoma"/>
          <w:b/>
          <w:iCs/>
        </w:rPr>
        <w:t>Total Revenue, 2019-2023 (NGN’ Million)</w:t>
      </w:r>
    </w:p>
    <w:tbl>
      <w:tblPr>
        <w:tblW w:w="85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86"/>
        <w:gridCol w:w="1026"/>
        <w:gridCol w:w="1026"/>
        <w:gridCol w:w="1026"/>
        <w:gridCol w:w="1128"/>
        <w:gridCol w:w="1026"/>
      </w:tblGrid>
      <w:tr w:rsidR="00C50636" w:rsidRPr="001D5AE2" w14:paraId="53C420BC" w14:textId="77777777" w:rsidTr="002C547B">
        <w:trPr>
          <w:trHeight w:val="276"/>
        </w:trPr>
        <w:tc>
          <w:tcPr>
            <w:tcW w:w="3286" w:type="dxa"/>
            <w:shd w:val="clear" w:color="auto" w:fill="92D050"/>
            <w:noWrap/>
            <w:vAlign w:val="bottom"/>
            <w:hideMark/>
          </w:tcPr>
          <w:p w14:paraId="734330A6" w14:textId="56740A9A" w:rsidR="00C50636" w:rsidRPr="001D5AE2" w:rsidRDefault="00C50636" w:rsidP="00C50636">
            <w:pPr>
              <w:spacing w:after="0" w:line="240" w:lineRule="auto"/>
              <w:rPr>
                <w:rFonts w:ascii="Tahoma" w:eastAsia="Times New Roman" w:hAnsi="Tahoma" w:cs="Tahoma"/>
                <w:b/>
                <w:bCs/>
                <w:sz w:val="20"/>
                <w:szCs w:val="20"/>
              </w:rPr>
            </w:pPr>
            <w:r w:rsidRPr="001D5AE2">
              <w:rPr>
                <w:rFonts w:ascii="Tahoma" w:eastAsia="Times New Roman" w:hAnsi="Tahoma" w:cs="Tahoma"/>
                <w:b/>
                <w:bCs/>
                <w:sz w:val="20"/>
                <w:szCs w:val="20"/>
              </w:rPr>
              <w:t>Revenue</w:t>
            </w:r>
          </w:p>
        </w:tc>
        <w:tc>
          <w:tcPr>
            <w:tcW w:w="1026" w:type="dxa"/>
            <w:shd w:val="clear" w:color="auto" w:fill="92D050"/>
            <w:noWrap/>
            <w:hideMark/>
          </w:tcPr>
          <w:p w14:paraId="73AE541A" w14:textId="7170018D" w:rsidR="00C50636" w:rsidRPr="001D5AE2" w:rsidRDefault="00C50636" w:rsidP="00C50636">
            <w:pPr>
              <w:spacing w:after="0" w:line="240" w:lineRule="auto"/>
              <w:jc w:val="right"/>
              <w:rPr>
                <w:rFonts w:ascii="Tahoma" w:eastAsia="Times New Roman" w:hAnsi="Tahoma" w:cs="Tahoma"/>
                <w:b/>
                <w:bCs/>
                <w:color w:val="000000"/>
                <w:sz w:val="20"/>
                <w:szCs w:val="20"/>
              </w:rPr>
            </w:pPr>
            <w:r w:rsidRPr="001D5AE2">
              <w:rPr>
                <w:b/>
                <w:bCs/>
                <w:sz w:val="20"/>
                <w:szCs w:val="20"/>
              </w:rPr>
              <w:t>2019</w:t>
            </w:r>
          </w:p>
        </w:tc>
        <w:tc>
          <w:tcPr>
            <w:tcW w:w="1026" w:type="dxa"/>
            <w:shd w:val="clear" w:color="auto" w:fill="92D050"/>
            <w:noWrap/>
            <w:hideMark/>
          </w:tcPr>
          <w:p w14:paraId="01DD56C5" w14:textId="08506AC3" w:rsidR="00C50636" w:rsidRPr="001D5AE2" w:rsidRDefault="00C50636" w:rsidP="00C50636">
            <w:pPr>
              <w:spacing w:after="0" w:line="240" w:lineRule="auto"/>
              <w:jc w:val="right"/>
              <w:rPr>
                <w:rFonts w:ascii="Tahoma" w:eastAsia="Times New Roman" w:hAnsi="Tahoma" w:cs="Tahoma"/>
                <w:b/>
                <w:bCs/>
                <w:color w:val="000000"/>
                <w:sz w:val="20"/>
                <w:szCs w:val="20"/>
              </w:rPr>
            </w:pPr>
            <w:r w:rsidRPr="001D5AE2">
              <w:rPr>
                <w:b/>
                <w:bCs/>
                <w:sz w:val="20"/>
                <w:szCs w:val="20"/>
              </w:rPr>
              <w:t>2020</w:t>
            </w:r>
          </w:p>
        </w:tc>
        <w:tc>
          <w:tcPr>
            <w:tcW w:w="1026" w:type="dxa"/>
            <w:shd w:val="clear" w:color="auto" w:fill="92D050"/>
            <w:noWrap/>
            <w:hideMark/>
          </w:tcPr>
          <w:p w14:paraId="235677A5" w14:textId="2DE3698C" w:rsidR="00C50636" w:rsidRPr="001D5AE2" w:rsidRDefault="00C50636" w:rsidP="00C50636">
            <w:pPr>
              <w:spacing w:after="0" w:line="240" w:lineRule="auto"/>
              <w:jc w:val="right"/>
              <w:rPr>
                <w:rFonts w:ascii="Tahoma" w:eastAsia="Times New Roman" w:hAnsi="Tahoma" w:cs="Tahoma"/>
                <w:b/>
                <w:bCs/>
                <w:color w:val="000000"/>
                <w:sz w:val="20"/>
                <w:szCs w:val="20"/>
              </w:rPr>
            </w:pPr>
            <w:r w:rsidRPr="001D5AE2">
              <w:rPr>
                <w:b/>
                <w:bCs/>
                <w:sz w:val="20"/>
                <w:szCs w:val="20"/>
              </w:rPr>
              <w:t>2021</w:t>
            </w:r>
          </w:p>
        </w:tc>
        <w:tc>
          <w:tcPr>
            <w:tcW w:w="1128" w:type="dxa"/>
            <w:shd w:val="clear" w:color="auto" w:fill="92D050"/>
            <w:noWrap/>
            <w:hideMark/>
          </w:tcPr>
          <w:p w14:paraId="4738B1A3" w14:textId="3D416D9E" w:rsidR="00C50636" w:rsidRPr="001D5AE2" w:rsidRDefault="00C50636" w:rsidP="00C50636">
            <w:pPr>
              <w:spacing w:after="0" w:line="240" w:lineRule="auto"/>
              <w:jc w:val="right"/>
              <w:rPr>
                <w:rFonts w:ascii="Tahoma" w:eastAsia="Times New Roman" w:hAnsi="Tahoma" w:cs="Tahoma"/>
                <w:b/>
                <w:bCs/>
                <w:color w:val="000000"/>
                <w:sz w:val="20"/>
                <w:szCs w:val="20"/>
              </w:rPr>
            </w:pPr>
            <w:r w:rsidRPr="001D5AE2">
              <w:rPr>
                <w:b/>
                <w:bCs/>
                <w:sz w:val="20"/>
                <w:szCs w:val="20"/>
              </w:rPr>
              <w:t>2022</w:t>
            </w:r>
          </w:p>
        </w:tc>
        <w:tc>
          <w:tcPr>
            <w:tcW w:w="1026" w:type="dxa"/>
            <w:shd w:val="clear" w:color="auto" w:fill="92D050"/>
            <w:noWrap/>
            <w:hideMark/>
          </w:tcPr>
          <w:p w14:paraId="650389A3" w14:textId="3128F694" w:rsidR="00C50636" w:rsidRPr="001D5AE2" w:rsidRDefault="00C50636" w:rsidP="00C50636">
            <w:pPr>
              <w:spacing w:after="0" w:line="240" w:lineRule="auto"/>
              <w:jc w:val="right"/>
              <w:rPr>
                <w:rFonts w:ascii="Tahoma" w:eastAsia="Times New Roman" w:hAnsi="Tahoma" w:cs="Tahoma"/>
                <w:b/>
                <w:bCs/>
                <w:color w:val="000000"/>
                <w:sz w:val="20"/>
                <w:szCs w:val="20"/>
              </w:rPr>
            </w:pPr>
            <w:r w:rsidRPr="001D5AE2">
              <w:rPr>
                <w:b/>
                <w:bCs/>
                <w:sz w:val="20"/>
                <w:szCs w:val="20"/>
              </w:rPr>
              <w:t>2023</w:t>
            </w:r>
          </w:p>
        </w:tc>
      </w:tr>
      <w:tr w:rsidR="00582829" w:rsidRPr="001D5AE2" w14:paraId="1B86711B" w14:textId="77777777" w:rsidTr="002C547B">
        <w:trPr>
          <w:trHeight w:val="276"/>
        </w:trPr>
        <w:tc>
          <w:tcPr>
            <w:tcW w:w="3286" w:type="dxa"/>
            <w:shd w:val="clear" w:color="auto" w:fill="auto"/>
            <w:noWrap/>
            <w:vAlign w:val="bottom"/>
            <w:hideMark/>
          </w:tcPr>
          <w:p w14:paraId="2628A311" w14:textId="77777777" w:rsidR="00582829" w:rsidRPr="001D5AE2" w:rsidRDefault="00582829" w:rsidP="00582829">
            <w:pPr>
              <w:spacing w:after="0" w:line="240" w:lineRule="auto"/>
              <w:rPr>
                <w:rFonts w:ascii="Tahoma" w:eastAsia="Times New Roman" w:hAnsi="Tahoma" w:cs="Tahoma"/>
                <w:color w:val="000000"/>
                <w:sz w:val="20"/>
                <w:szCs w:val="20"/>
              </w:rPr>
            </w:pPr>
            <w:r w:rsidRPr="001D5AE2">
              <w:rPr>
                <w:rFonts w:ascii="Tahoma" w:eastAsia="Times New Roman" w:hAnsi="Tahoma" w:cs="Tahoma"/>
                <w:color w:val="000000"/>
                <w:sz w:val="20"/>
                <w:szCs w:val="20"/>
              </w:rPr>
              <w:t>Total Revenue</w:t>
            </w:r>
          </w:p>
        </w:tc>
        <w:tc>
          <w:tcPr>
            <w:tcW w:w="1026" w:type="dxa"/>
            <w:shd w:val="clear" w:color="auto" w:fill="auto"/>
            <w:noWrap/>
            <w:hideMark/>
          </w:tcPr>
          <w:p w14:paraId="000483B1" w14:textId="1314D8E2" w:rsidR="00582829" w:rsidRPr="001D5AE2" w:rsidRDefault="00582829" w:rsidP="00582829">
            <w:pPr>
              <w:spacing w:after="0" w:line="240" w:lineRule="auto"/>
              <w:jc w:val="right"/>
              <w:rPr>
                <w:rFonts w:ascii="Tahoma" w:eastAsia="Times New Roman" w:hAnsi="Tahoma" w:cs="Tahoma"/>
                <w:color w:val="000000"/>
                <w:sz w:val="20"/>
                <w:szCs w:val="20"/>
              </w:rPr>
            </w:pPr>
            <w:r w:rsidRPr="001D5AE2">
              <w:t>65,104</w:t>
            </w:r>
          </w:p>
        </w:tc>
        <w:tc>
          <w:tcPr>
            <w:tcW w:w="1026" w:type="dxa"/>
            <w:shd w:val="clear" w:color="auto" w:fill="auto"/>
            <w:noWrap/>
            <w:hideMark/>
          </w:tcPr>
          <w:p w14:paraId="483CDFD6" w14:textId="6A1BD370" w:rsidR="00582829" w:rsidRPr="001D5AE2" w:rsidRDefault="00582829" w:rsidP="00582829">
            <w:pPr>
              <w:spacing w:after="0" w:line="240" w:lineRule="auto"/>
              <w:jc w:val="right"/>
              <w:rPr>
                <w:rFonts w:ascii="Tahoma" w:eastAsia="Times New Roman" w:hAnsi="Tahoma" w:cs="Tahoma"/>
                <w:color w:val="000000"/>
                <w:sz w:val="20"/>
                <w:szCs w:val="20"/>
              </w:rPr>
            </w:pPr>
            <w:r w:rsidRPr="001D5AE2">
              <w:t>62,102</w:t>
            </w:r>
          </w:p>
        </w:tc>
        <w:tc>
          <w:tcPr>
            <w:tcW w:w="1026" w:type="dxa"/>
            <w:shd w:val="clear" w:color="auto" w:fill="auto"/>
            <w:noWrap/>
            <w:hideMark/>
          </w:tcPr>
          <w:p w14:paraId="6263F9F8" w14:textId="2525B3F9" w:rsidR="00582829" w:rsidRPr="001D5AE2" w:rsidRDefault="00582829" w:rsidP="00582829">
            <w:pPr>
              <w:spacing w:after="0" w:line="240" w:lineRule="auto"/>
              <w:jc w:val="right"/>
              <w:rPr>
                <w:rFonts w:ascii="Tahoma" w:eastAsia="Times New Roman" w:hAnsi="Tahoma" w:cs="Tahoma"/>
                <w:color w:val="000000"/>
                <w:sz w:val="20"/>
                <w:szCs w:val="20"/>
              </w:rPr>
            </w:pPr>
            <w:r w:rsidRPr="001D5AE2">
              <w:t>73,950</w:t>
            </w:r>
          </w:p>
        </w:tc>
        <w:tc>
          <w:tcPr>
            <w:tcW w:w="1128" w:type="dxa"/>
            <w:shd w:val="clear" w:color="auto" w:fill="auto"/>
            <w:noWrap/>
            <w:hideMark/>
          </w:tcPr>
          <w:p w14:paraId="30799602" w14:textId="772C31DF" w:rsidR="00582829" w:rsidRPr="001D5AE2" w:rsidRDefault="00582829" w:rsidP="00582829">
            <w:pPr>
              <w:spacing w:after="0" w:line="240" w:lineRule="auto"/>
              <w:jc w:val="right"/>
              <w:rPr>
                <w:rFonts w:ascii="Tahoma" w:eastAsia="Times New Roman" w:hAnsi="Tahoma" w:cs="Tahoma"/>
                <w:color w:val="000000"/>
                <w:sz w:val="20"/>
                <w:szCs w:val="20"/>
              </w:rPr>
            </w:pPr>
            <w:r w:rsidRPr="001D5AE2">
              <w:t>85,155</w:t>
            </w:r>
          </w:p>
        </w:tc>
        <w:tc>
          <w:tcPr>
            <w:tcW w:w="1026" w:type="dxa"/>
            <w:shd w:val="clear" w:color="auto" w:fill="auto"/>
            <w:noWrap/>
          </w:tcPr>
          <w:p w14:paraId="437C8851" w14:textId="1CF0478B" w:rsidR="00582829" w:rsidRPr="001D5AE2" w:rsidRDefault="00582829" w:rsidP="00582829">
            <w:pPr>
              <w:spacing w:after="0" w:line="240" w:lineRule="auto"/>
              <w:jc w:val="right"/>
              <w:rPr>
                <w:rFonts w:ascii="Tahoma" w:eastAsia="Times New Roman" w:hAnsi="Tahoma" w:cs="Tahoma"/>
                <w:color w:val="000000"/>
                <w:sz w:val="20"/>
                <w:szCs w:val="20"/>
              </w:rPr>
            </w:pPr>
            <w:r w:rsidRPr="001D5AE2">
              <w:t>116,139</w:t>
            </w:r>
          </w:p>
        </w:tc>
      </w:tr>
      <w:tr w:rsidR="00582829" w:rsidRPr="001D5AE2" w14:paraId="6EE331D5" w14:textId="77777777" w:rsidTr="002C547B">
        <w:trPr>
          <w:trHeight w:val="276"/>
        </w:trPr>
        <w:tc>
          <w:tcPr>
            <w:tcW w:w="3286" w:type="dxa"/>
            <w:shd w:val="clear" w:color="auto" w:fill="auto"/>
            <w:noWrap/>
            <w:vAlign w:val="bottom"/>
            <w:hideMark/>
          </w:tcPr>
          <w:p w14:paraId="0FADDEF2" w14:textId="77777777" w:rsidR="00582829" w:rsidRPr="001D5AE2" w:rsidRDefault="00582829" w:rsidP="00582829">
            <w:pPr>
              <w:spacing w:after="0" w:line="240" w:lineRule="auto"/>
              <w:rPr>
                <w:rFonts w:ascii="Tahoma" w:eastAsia="Times New Roman" w:hAnsi="Tahoma" w:cs="Tahoma"/>
                <w:color w:val="000000"/>
                <w:sz w:val="20"/>
                <w:szCs w:val="20"/>
              </w:rPr>
            </w:pPr>
            <w:r w:rsidRPr="001D5AE2">
              <w:rPr>
                <w:rFonts w:ascii="Tahoma" w:eastAsia="Times New Roman" w:hAnsi="Tahoma" w:cs="Tahoma"/>
                <w:color w:val="000000"/>
                <w:sz w:val="20"/>
                <w:szCs w:val="20"/>
              </w:rPr>
              <w:t>Gross FAAC Allocation</w:t>
            </w:r>
          </w:p>
        </w:tc>
        <w:tc>
          <w:tcPr>
            <w:tcW w:w="1026" w:type="dxa"/>
            <w:shd w:val="clear" w:color="auto" w:fill="auto"/>
            <w:noWrap/>
            <w:hideMark/>
          </w:tcPr>
          <w:p w14:paraId="1C4E9DFE" w14:textId="09EC848F" w:rsidR="00582829" w:rsidRPr="001D5AE2" w:rsidRDefault="00582829" w:rsidP="00582829">
            <w:pPr>
              <w:spacing w:after="0" w:line="240" w:lineRule="auto"/>
              <w:jc w:val="right"/>
              <w:rPr>
                <w:rFonts w:ascii="Tahoma" w:eastAsia="Times New Roman" w:hAnsi="Tahoma" w:cs="Tahoma"/>
                <w:color w:val="000000"/>
                <w:sz w:val="20"/>
                <w:szCs w:val="20"/>
              </w:rPr>
            </w:pPr>
            <w:r w:rsidRPr="001D5AE2">
              <w:t>57,737</w:t>
            </w:r>
          </w:p>
        </w:tc>
        <w:tc>
          <w:tcPr>
            <w:tcW w:w="1026" w:type="dxa"/>
            <w:shd w:val="clear" w:color="auto" w:fill="auto"/>
            <w:noWrap/>
            <w:hideMark/>
          </w:tcPr>
          <w:p w14:paraId="0F0FD5F8" w14:textId="6C3D4082" w:rsidR="00582829" w:rsidRPr="001D5AE2" w:rsidRDefault="00582829" w:rsidP="00582829">
            <w:pPr>
              <w:spacing w:after="0" w:line="240" w:lineRule="auto"/>
              <w:jc w:val="right"/>
              <w:rPr>
                <w:rFonts w:ascii="Tahoma" w:eastAsia="Times New Roman" w:hAnsi="Tahoma" w:cs="Tahoma"/>
                <w:color w:val="000000"/>
                <w:sz w:val="20"/>
                <w:szCs w:val="20"/>
              </w:rPr>
            </w:pPr>
            <w:r w:rsidRPr="001D5AE2">
              <w:t>54,126</w:t>
            </w:r>
          </w:p>
        </w:tc>
        <w:tc>
          <w:tcPr>
            <w:tcW w:w="1026" w:type="dxa"/>
            <w:shd w:val="clear" w:color="auto" w:fill="auto"/>
            <w:noWrap/>
            <w:hideMark/>
          </w:tcPr>
          <w:p w14:paraId="6D904383" w14:textId="39E29AF8" w:rsidR="00582829" w:rsidRPr="001D5AE2" w:rsidRDefault="00582829" w:rsidP="00582829">
            <w:pPr>
              <w:spacing w:after="0" w:line="240" w:lineRule="auto"/>
              <w:jc w:val="right"/>
              <w:rPr>
                <w:rFonts w:ascii="Tahoma" w:eastAsia="Times New Roman" w:hAnsi="Tahoma" w:cs="Tahoma"/>
                <w:color w:val="000000"/>
                <w:sz w:val="20"/>
                <w:szCs w:val="20"/>
              </w:rPr>
            </w:pPr>
            <w:r w:rsidRPr="001D5AE2">
              <w:t>57,676</w:t>
            </w:r>
          </w:p>
        </w:tc>
        <w:tc>
          <w:tcPr>
            <w:tcW w:w="1128" w:type="dxa"/>
            <w:shd w:val="clear" w:color="auto" w:fill="auto"/>
            <w:noWrap/>
            <w:hideMark/>
          </w:tcPr>
          <w:p w14:paraId="527AF02D" w14:textId="0F2DEF32" w:rsidR="00582829" w:rsidRPr="001D5AE2" w:rsidRDefault="00582829" w:rsidP="00582829">
            <w:pPr>
              <w:spacing w:after="0" w:line="240" w:lineRule="auto"/>
              <w:jc w:val="right"/>
              <w:rPr>
                <w:rFonts w:ascii="Tahoma" w:eastAsia="Times New Roman" w:hAnsi="Tahoma" w:cs="Tahoma"/>
                <w:color w:val="000000"/>
                <w:sz w:val="20"/>
                <w:szCs w:val="20"/>
              </w:rPr>
            </w:pPr>
            <w:r w:rsidRPr="001D5AE2">
              <w:t>68,869</w:t>
            </w:r>
          </w:p>
        </w:tc>
        <w:tc>
          <w:tcPr>
            <w:tcW w:w="1026" w:type="dxa"/>
            <w:shd w:val="clear" w:color="auto" w:fill="auto"/>
            <w:noWrap/>
          </w:tcPr>
          <w:p w14:paraId="515CC44A" w14:textId="16F9F11B" w:rsidR="00582829" w:rsidRPr="001D5AE2" w:rsidRDefault="00582829" w:rsidP="00582829">
            <w:pPr>
              <w:spacing w:after="0" w:line="240" w:lineRule="auto"/>
              <w:jc w:val="right"/>
              <w:rPr>
                <w:rFonts w:ascii="Tahoma" w:eastAsia="Times New Roman" w:hAnsi="Tahoma" w:cs="Tahoma"/>
                <w:color w:val="000000"/>
                <w:sz w:val="20"/>
                <w:szCs w:val="20"/>
              </w:rPr>
            </w:pPr>
            <w:r w:rsidRPr="001D5AE2">
              <w:t>81,191</w:t>
            </w:r>
          </w:p>
        </w:tc>
      </w:tr>
      <w:tr w:rsidR="00582829" w:rsidRPr="001D5AE2" w14:paraId="2084C009" w14:textId="77777777" w:rsidTr="002C547B">
        <w:trPr>
          <w:trHeight w:val="276"/>
        </w:trPr>
        <w:tc>
          <w:tcPr>
            <w:tcW w:w="3286" w:type="dxa"/>
            <w:shd w:val="clear" w:color="auto" w:fill="auto"/>
            <w:noWrap/>
            <w:vAlign w:val="bottom"/>
            <w:hideMark/>
          </w:tcPr>
          <w:p w14:paraId="1CFBA840" w14:textId="77777777" w:rsidR="00582829" w:rsidRPr="001D5AE2" w:rsidRDefault="00582829" w:rsidP="00582829">
            <w:pPr>
              <w:spacing w:after="0" w:line="240" w:lineRule="auto"/>
              <w:rPr>
                <w:rFonts w:ascii="Tahoma" w:eastAsia="Times New Roman" w:hAnsi="Tahoma" w:cs="Tahoma"/>
                <w:color w:val="000000"/>
                <w:sz w:val="20"/>
                <w:szCs w:val="20"/>
              </w:rPr>
            </w:pPr>
            <w:r w:rsidRPr="001D5AE2">
              <w:rPr>
                <w:rFonts w:ascii="Tahoma" w:eastAsia="Times New Roman" w:hAnsi="Tahoma" w:cs="Tahoma"/>
                <w:color w:val="000000"/>
                <w:sz w:val="20"/>
                <w:szCs w:val="20"/>
              </w:rPr>
              <w:t xml:space="preserve">IGR </w:t>
            </w:r>
          </w:p>
        </w:tc>
        <w:tc>
          <w:tcPr>
            <w:tcW w:w="1026" w:type="dxa"/>
            <w:shd w:val="clear" w:color="auto" w:fill="auto"/>
            <w:noWrap/>
            <w:hideMark/>
          </w:tcPr>
          <w:p w14:paraId="7D725A11" w14:textId="4DFA0F73" w:rsidR="00582829" w:rsidRPr="001D5AE2" w:rsidRDefault="00582829" w:rsidP="00582829">
            <w:pPr>
              <w:spacing w:after="0" w:line="240" w:lineRule="auto"/>
              <w:jc w:val="right"/>
              <w:rPr>
                <w:rFonts w:ascii="Tahoma" w:eastAsia="Times New Roman" w:hAnsi="Tahoma" w:cs="Tahoma"/>
                <w:color w:val="000000"/>
                <w:sz w:val="20"/>
                <w:szCs w:val="20"/>
              </w:rPr>
            </w:pPr>
            <w:r w:rsidRPr="001D5AE2">
              <w:t>7,367</w:t>
            </w:r>
          </w:p>
        </w:tc>
        <w:tc>
          <w:tcPr>
            <w:tcW w:w="1026" w:type="dxa"/>
            <w:shd w:val="clear" w:color="auto" w:fill="auto"/>
            <w:noWrap/>
            <w:hideMark/>
          </w:tcPr>
          <w:p w14:paraId="26F62E92" w14:textId="721D7823" w:rsidR="00582829" w:rsidRPr="001D5AE2" w:rsidRDefault="00582829" w:rsidP="00582829">
            <w:pPr>
              <w:spacing w:after="0" w:line="240" w:lineRule="auto"/>
              <w:jc w:val="right"/>
              <w:rPr>
                <w:rFonts w:ascii="Tahoma" w:eastAsia="Times New Roman" w:hAnsi="Tahoma" w:cs="Tahoma"/>
                <w:color w:val="000000"/>
                <w:sz w:val="20"/>
                <w:szCs w:val="20"/>
              </w:rPr>
            </w:pPr>
            <w:r w:rsidRPr="001D5AE2">
              <w:t>7,976</w:t>
            </w:r>
          </w:p>
        </w:tc>
        <w:tc>
          <w:tcPr>
            <w:tcW w:w="1026" w:type="dxa"/>
            <w:shd w:val="clear" w:color="auto" w:fill="auto"/>
            <w:noWrap/>
            <w:hideMark/>
          </w:tcPr>
          <w:p w14:paraId="4D655C33" w14:textId="09B6FC00" w:rsidR="00582829" w:rsidRPr="001D5AE2" w:rsidRDefault="00582829" w:rsidP="00582829">
            <w:pPr>
              <w:spacing w:after="0" w:line="240" w:lineRule="auto"/>
              <w:jc w:val="right"/>
              <w:rPr>
                <w:rFonts w:ascii="Tahoma" w:eastAsia="Times New Roman" w:hAnsi="Tahoma" w:cs="Tahoma"/>
                <w:color w:val="000000"/>
                <w:sz w:val="20"/>
                <w:szCs w:val="20"/>
              </w:rPr>
            </w:pPr>
            <w:r w:rsidRPr="001D5AE2">
              <w:t>11,851</w:t>
            </w:r>
          </w:p>
        </w:tc>
        <w:tc>
          <w:tcPr>
            <w:tcW w:w="1128" w:type="dxa"/>
            <w:shd w:val="clear" w:color="auto" w:fill="auto"/>
            <w:noWrap/>
            <w:hideMark/>
          </w:tcPr>
          <w:p w14:paraId="448EDD1B" w14:textId="0DA44165" w:rsidR="00582829" w:rsidRPr="001D5AE2" w:rsidRDefault="00582829" w:rsidP="00582829">
            <w:pPr>
              <w:spacing w:after="0" w:line="240" w:lineRule="auto"/>
              <w:jc w:val="right"/>
              <w:rPr>
                <w:rFonts w:ascii="Tahoma" w:eastAsia="Times New Roman" w:hAnsi="Tahoma" w:cs="Tahoma"/>
                <w:color w:val="000000"/>
                <w:sz w:val="20"/>
                <w:szCs w:val="20"/>
              </w:rPr>
            </w:pPr>
            <w:r w:rsidRPr="001D5AE2">
              <w:t>8,429</w:t>
            </w:r>
          </w:p>
        </w:tc>
        <w:tc>
          <w:tcPr>
            <w:tcW w:w="1026" w:type="dxa"/>
            <w:shd w:val="clear" w:color="auto" w:fill="auto"/>
            <w:noWrap/>
          </w:tcPr>
          <w:p w14:paraId="37C520B6" w14:textId="0CD72218" w:rsidR="00582829" w:rsidRPr="001D5AE2" w:rsidRDefault="00582829" w:rsidP="00582829">
            <w:pPr>
              <w:spacing w:after="0" w:line="240" w:lineRule="auto"/>
              <w:jc w:val="right"/>
              <w:rPr>
                <w:rFonts w:ascii="Tahoma" w:eastAsia="Times New Roman" w:hAnsi="Tahoma" w:cs="Tahoma"/>
                <w:color w:val="000000"/>
                <w:sz w:val="20"/>
                <w:szCs w:val="20"/>
              </w:rPr>
            </w:pPr>
            <w:r w:rsidRPr="001D5AE2">
              <w:t>11,737</w:t>
            </w:r>
          </w:p>
        </w:tc>
      </w:tr>
      <w:tr w:rsidR="00582829" w:rsidRPr="001D5AE2" w14:paraId="7EA03493" w14:textId="77777777" w:rsidTr="002C547B">
        <w:trPr>
          <w:trHeight w:val="276"/>
        </w:trPr>
        <w:tc>
          <w:tcPr>
            <w:tcW w:w="3286" w:type="dxa"/>
            <w:shd w:val="clear" w:color="auto" w:fill="auto"/>
            <w:noWrap/>
            <w:vAlign w:val="bottom"/>
            <w:hideMark/>
          </w:tcPr>
          <w:p w14:paraId="1FC7CB8C" w14:textId="77777777" w:rsidR="00582829" w:rsidRPr="001D5AE2" w:rsidRDefault="00582829" w:rsidP="00582829">
            <w:pPr>
              <w:spacing w:after="0" w:line="240" w:lineRule="auto"/>
              <w:rPr>
                <w:rFonts w:ascii="Tahoma" w:eastAsia="Times New Roman" w:hAnsi="Tahoma" w:cs="Tahoma"/>
                <w:color w:val="000000"/>
                <w:sz w:val="20"/>
                <w:szCs w:val="20"/>
              </w:rPr>
            </w:pPr>
            <w:r w:rsidRPr="001D5AE2">
              <w:rPr>
                <w:rFonts w:ascii="Tahoma" w:eastAsia="Times New Roman" w:hAnsi="Tahoma" w:cs="Tahoma"/>
                <w:color w:val="000000"/>
                <w:sz w:val="20"/>
                <w:szCs w:val="20"/>
              </w:rPr>
              <w:t>Grants</w:t>
            </w:r>
          </w:p>
        </w:tc>
        <w:tc>
          <w:tcPr>
            <w:tcW w:w="1026" w:type="dxa"/>
            <w:shd w:val="clear" w:color="auto" w:fill="auto"/>
            <w:noWrap/>
            <w:hideMark/>
          </w:tcPr>
          <w:p w14:paraId="4ED88F21" w14:textId="20E72DE0" w:rsidR="00582829" w:rsidRPr="001D5AE2" w:rsidRDefault="00582829" w:rsidP="00582829">
            <w:pPr>
              <w:spacing w:after="0" w:line="240" w:lineRule="auto"/>
              <w:jc w:val="right"/>
              <w:rPr>
                <w:rFonts w:ascii="Tahoma" w:eastAsia="Times New Roman" w:hAnsi="Tahoma" w:cs="Tahoma"/>
                <w:color w:val="000000"/>
                <w:sz w:val="20"/>
                <w:szCs w:val="20"/>
              </w:rPr>
            </w:pPr>
            <w:r w:rsidRPr="001D5AE2">
              <w:t>0</w:t>
            </w:r>
          </w:p>
        </w:tc>
        <w:tc>
          <w:tcPr>
            <w:tcW w:w="1026" w:type="dxa"/>
            <w:shd w:val="clear" w:color="auto" w:fill="auto"/>
            <w:noWrap/>
            <w:hideMark/>
          </w:tcPr>
          <w:p w14:paraId="64F7B396" w14:textId="6F95B16E" w:rsidR="00582829" w:rsidRPr="001D5AE2" w:rsidRDefault="00582829" w:rsidP="00582829">
            <w:pPr>
              <w:spacing w:after="0" w:line="240" w:lineRule="auto"/>
              <w:jc w:val="right"/>
              <w:rPr>
                <w:rFonts w:ascii="Tahoma" w:eastAsia="Times New Roman" w:hAnsi="Tahoma" w:cs="Tahoma"/>
                <w:color w:val="000000"/>
                <w:sz w:val="20"/>
                <w:szCs w:val="20"/>
              </w:rPr>
            </w:pPr>
            <w:r w:rsidRPr="001D5AE2">
              <w:t>0</w:t>
            </w:r>
          </w:p>
        </w:tc>
        <w:tc>
          <w:tcPr>
            <w:tcW w:w="1026" w:type="dxa"/>
            <w:shd w:val="clear" w:color="auto" w:fill="auto"/>
            <w:noWrap/>
            <w:hideMark/>
          </w:tcPr>
          <w:p w14:paraId="0DB17017" w14:textId="047D20F9" w:rsidR="00582829" w:rsidRPr="001D5AE2" w:rsidRDefault="00582829" w:rsidP="00582829">
            <w:pPr>
              <w:spacing w:after="0" w:line="240" w:lineRule="auto"/>
              <w:jc w:val="right"/>
              <w:rPr>
                <w:rFonts w:ascii="Tahoma" w:eastAsia="Times New Roman" w:hAnsi="Tahoma" w:cs="Tahoma"/>
                <w:color w:val="000000"/>
                <w:sz w:val="20"/>
                <w:szCs w:val="20"/>
              </w:rPr>
            </w:pPr>
            <w:r w:rsidRPr="001D5AE2">
              <w:t>4,423</w:t>
            </w:r>
          </w:p>
        </w:tc>
        <w:tc>
          <w:tcPr>
            <w:tcW w:w="1128" w:type="dxa"/>
            <w:shd w:val="clear" w:color="auto" w:fill="auto"/>
            <w:noWrap/>
            <w:hideMark/>
          </w:tcPr>
          <w:p w14:paraId="6B25D9BA" w14:textId="3174E4EF" w:rsidR="00582829" w:rsidRPr="001D5AE2" w:rsidRDefault="00582829" w:rsidP="00582829">
            <w:pPr>
              <w:spacing w:after="0" w:line="240" w:lineRule="auto"/>
              <w:jc w:val="right"/>
              <w:rPr>
                <w:rFonts w:ascii="Tahoma" w:eastAsia="Times New Roman" w:hAnsi="Tahoma" w:cs="Tahoma"/>
                <w:color w:val="000000"/>
                <w:sz w:val="20"/>
                <w:szCs w:val="20"/>
              </w:rPr>
            </w:pPr>
            <w:r w:rsidRPr="001D5AE2">
              <w:t>7,857</w:t>
            </w:r>
          </w:p>
        </w:tc>
        <w:tc>
          <w:tcPr>
            <w:tcW w:w="1026" w:type="dxa"/>
            <w:shd w:val="clear" w:color="auto" w:fill="auto"/>
            <w:noWrap/>
          </w:tcPr>
          <w:p w14:paraId="261E9754" w14:textId="71A3F781" w:rsidR="00582829" w:rsidRPr="001D5AE2" w:rsidRDefault="00582829" w:rsidP="00582829">
            <w:pPr>
              <w:spacing w:after="0" w:line="240" w:lineRule="auto"/>
              <w:jc w:val="right"/>
              <w:rPr>
                <w:rFonts w:ascii="Tahoma" w:eastAsia="Times New Roman" w:hAnsi="Tahoma" w:cs="Tahoma"/>
                <w:color w:val="000000"/>
                <w:sz w:val="20"/>
                <w:szCs w:val="20"/>
              </w:rPr>
            </w:pPr>
            <w:r w:rsidRPr="001D5AE2">
              <w:t>23,211</w:t>
            </w:r>
          </w:p>
        </w:tc>
      </w:tr>
    </w:tbl>
    <w:p w14:paraId="630DDB0B" w14:textId="6DB472B4" w:rsidR="00856B93" w:rsidRPr="001D5AE2" w:rsidRDefault="00856B93" w:rsidP="00856B93">
      <w:pPr>
        <w:pStyle w:val="ListParagraph"/>
        <w:spacing w:line="360" w:lineRule="auto"/>
        <w:ind w:left="360"/>
        <w:jc w:val="both"/>
        <w:rPr>
          <w:rFonts w:ascii="Tahoma" w:hAnsi="Tahoma" w:cs="Tahoma"/>
          <w:bCs/>
          <w:iCs/>
        </w:rPr>
      </w:pPr>
    </w:p>
    <w:p w14:paraId="3EA15DE6" w14:textId="77777777" w:rsidR="00056439" w:rsidRPr="001D5AE2" w:rsidRDefault="00056439" w:rsidP="00856B93">
      <w:pPr>
        <w:pStyle w:val="ListParagraph"/>
        <w:spacing w:line="360" w:lineRule="auto"/>
        <w:ind w:left="360"/>
        <w:jc w:val="both"/>
        <w:rPr>
          <w:rFonts w:ascii="Tahoma" w:hAnsi="Tahoma" w:cs="Tahoma"/>
          <w:bCs/>
          <w:iCs/>
        </w:rPr>
      </w:pPr>
    </w:p>
    <w:p w14:paraId="3DA27819" w14:textId="575ECCB4" w:rsidR="00EB585A" w:rsidRPr="001D5AE2" w:rsidRDefault="00F64C7C" w:rsidP="00DF5069">
      <w:pPr>
        <w:spacing w:line="360" w:lineRule="auto"/>
        <w:jc w:val="both"/>
        <w:rPr>
          <w:rFonts w:ascii="Tahoma" w:hAnsi="Tahoma" w:cs="Tahoma"/>
          <w:bCs/>
          <w:iCs/>
        </w:rPr>
      </w:pPr>
      <w:r w:rsidRPr="001D5AE2">
        <w:rPr>
          <w:noProof/>
        </w:rPr>
        <w:lastRenderedPageBreak/>
        <w:drawing>
          <wp:inline distT="0" distB="0" distL="0" distR="0" wp14:anchorId="736D19C0" wp14:editId="35BDB4C4">
            <wp:extent cx="5486400" cy="3018155"/>
            <wp:effectExtent l="0" t="0" r="0" b="0"/>
            <wp:docPr id="435979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1DF0849A" w14:textId="24477C29" w:rsidR="00856B93" w:rsidRPr="001D5AE2" w:rsidRDefault="009A3BD3" w:rsidP="00856B93">
      <w:pPr>
        <w:spacing w:line="360" w:lineRule="auto"/>
        <w:jc w:val="both"/>
        <w:rPr>
          <w:rFonts w:ascii="Tahoma" w:hAnsi="Tahoma" w:cs="Tahoma"/>
          <w:bCs/>
          <w:iCs/>
        </w:rPr>
      </w:pPr>
      <w:r w:rsidRPr="001D5AE2">
        <w:rPr>
          <w:rFonts w:ascii="Tahoma" w:hAnsi="Tahoma" w:cs="Tahoma"/>
          <w:b/>
          <w:iCs/>
        </w:rPr>
        <w:t>3.</w:t>
      </w:r>
      <w:r w:rsidR="00056439" w:rsidRPr="001D5AE2">
        <w:rPr>
          <w:rFonts w:ascii="Tahoma" w:hAnsi="Tahoma" w:cs="Tahoma"/>
          <w:b/>
          <w:iCs/>
        </w:rPr>
        <w:t>2</w:t>
      </w:r>
      <w:r w:rsidRPr="001D5AE2">
        <w:rPr>
          <w:rFonts w:ascii="Tahoma" w:hAnsi="Tahoma" w:cs="Tahoma"/>
          <w:b/>
          <w:iCs/>
        </w:rPr>
        <w:tab/>
      </w:r>
      <w:r w:rsidR="00856B93" w:rsidRPr="001D5AE2">
        <w:rPr>
          <w:rFonts w:ascii="Tahoma" w:hAnsi="Tahoma" w:cs="Tahoma"/>
          <w:b/>
          <w:iCs/>
        </w:rPr>
        <w:t>Expenditure</w:t>
      </w:r>
      <w:r w:rsidR="00856B93" w:rsidRPr="001D5AE2">
        <w:rPr>
          <w:rFonts w:ascii="Tahoma" w:hAnsi="Tahoma" w:cs="Tahoma"/>
          <w:bCs/>
          <w:iCs/>
        </w:rPr>
        <w:t xml:space="preserve">- The State’s Total expenditure covers Capital expenditure, Personnel costs, Overhead costs, other recurrent expenditure, and Debt service (interest payment and principal repayment) recorded </w:t>
      </w:r>
      <w:r w:rsidR="00646B75" w:rsidRPr="001D5AE2">
        <w:rPr>
          <w:rFonts w:ascii="Tahoma" w:hAnsi="Tahoma" w:cs="Tahoma"/>
          <w:bCs/>
          <w:iCs/>
        </w:rPr>
        <w:t>a</w:t>
      </w:r>
      <w:r w:rsidR="00BC5AA3" w:rsidRPr="001D5AE2">
        <w:rPr>
          <w:rFonts w:ascii="Tahoma" w:hAnsi="Tahoma" w:cs="Tahoma"/>
          <w:bCs/>
          <w:iCs/>
        </w:rPr>
        <w:t xml:space="preserve">n </w:t>
      </w:r>
      <w:r w:rsidR="0065122D" w:rsidRPr="001D5AE2">
        <w:rPr>
          <w:rFonts w:ascii="Tahoma" w:hAnsi="Tahoma" w:cs="Tahoma"/>
          <w:bCs/>
          <w:iCs/>
        </w:rPr>
        <w:t>increase</w:t>
      </w:r>
      <w:r w:rsidR="00221911" w:rsidRPr="001D5AE2">
        <w:rPr>
          <w:rFonts w:ascii="Tahoma" w:hAnsi="Tahoma" w:cs="Tahoma"/>
          <w:bCs/>
          <w:iCs/>
        </w:rPr>
        <w:t xml:space="preserve"> from </w:t>
      </w:r>
      <w:r w:rsidR="00654E29" w:rsidRPr="001D5AE2">
        <w:rPr>
          <w:rFonts w:ascii="Tahoma" w:hAnsi="Tahoma" w:cs="Tahoma"/>
          <w:bCs/>
          <w:iCs/>
        </w:rPr>
        <w:t>N</w:t>
      </w:r>
      <w:r w:rsidR="00646B75" w:rsidRPr="001D5AE2">
        <w:rPr>
          <w:rFonts w:ascii="Tahoma" w:hAnsi="Tahoma" w:cs="Tahoma"/>
          <w:bCs/>
          <w:iCs/>
        </w:rPr>
        <w:t>9</w:t>
      </w:r>
      <w:r w:rsidR="00BE0DBA" w:rsidRPr="001D5AE2">
        <w:rPr>
          <w:rFonts w:ascii="Tahoma" w:hAnsi="Tahoma" w:cs="Tahoma"/>
          <w:bCs/>
          <w:iCs/>
        </w:rPr>
        <w:t>3</w:t>
      </w:r>
      <w:r w:rsidR="00646B75" w:rsidRPr="001D5AE2">
        <w:rPr>
          <w:rFonts w:ascii="Tahoma" w:hAnsi="Tahoma" w:cs="Tahoma"/>
          <w:bCs/>
          <w:iCs/>
        </w:rPr>
        <w:t>,</w:t>
      </w:r>
      <w:r w:rsidR="00BE0DBA" w:rsidRPr="001D5AE2">
        <w:rPr>
          <w:rFonts w:ascii="Tahoma" w:hAnsi="Tahoma" w:cs="Tahoma"/>
          <w:bCs/>
          <w:iCs/>
        </w:rPr>
        <w:t xml:space="preserve">769 </w:t>
      </w:r>
      <w:r w:rsidR="00646B75" w:rsidRPr="001D5AE2">
        <w:rPr>
          <w:rFonts w:ascii="Tahoma" w:hAnsi="Tahoma" w:cs="Tahoma"/>
          <w:bCs/>
          <w:iCs/>
        </w:rPr>
        <w:t>million in 20</w:t>
      </w:r>
      <w:r w:rsidR="00BE0DBA" w:rsidRPr="001D5AE2">
        <w:rPr>
          <w:rFonts w:ascii="Tahoma" w:hAnsi="Tahoma" w:cs="Tahoma"/>
          <w:bCs/>
          <w:iCs/>
        </w:rPr>
        <w:t>19</w:t>
      </w:r>
      <w:r w:rsidR="00646B75" w:rsidRPr="001D5AE2">
        <w:rPr>
          <w:rFonts w:ascii="Tahoma" w:hAnsi="Tahoma" w:cs="Tahoma"/>
          <w:bCs/>
          <w:iCs/>
        </w:rPr>
        <w:t xml:space="preserve"> </w:t>
      </w:r>
      <w:r w:rsidR="0060707C" w:rsidRPr="001D5AE2">
        <w:rPr>
          <w:rFonts w:ascii="Tahoma" w:hAnsi="Tahoma" w:cs="Tahoma"/>
          <w:bCs/>
          <w:iCs/>
        </w:rPr>
        <w:t>to N</w:t>
      </w:r>
      <w:r w:rsidR="00BE0DBA" w:rsidRPr="001D5AE2">
        <w:rPr>
          <w:rFonts w:ascii="Tahoma" w:hAnsi="Tahoma" w:cs="Tahoma"/>
          <w:bCs/>
          <w:iCs/>
        </w:rPr>
        <w:t xml:space="preserve">112,272 </w:t>
      </w:r>
      <w:r w:rsidR="0060707C" w:rsidRPr="001D5AE2">
        <w:rPr>
          <w:rFonts w:ascii="Tahoma" w:hAnsi="Tahoma" w:cs="Tahoma"/>
          <w:bCs/>
          <w:iCs/>
        </w:rPr>
        <w:t xml:space="preserve">million </w:t>
      </w:r>
      <w:r w:rsidR="00562035" w:rsidRPr="001D5AE2">
        <w:rPr>
          <w:rFonts w:ascii="Tahoma" w:hAnsi="Tahoma" w:cs="Tahoma"/>
          <w:bCs/>
          <w:iCs/>
        </w:rPr>
        <w:t>in 202</w:t>
      </w:r>
      <w:r w:rsidR="00BE0DBA" w:rsidRPr="001D5AE2">
        <w:rPr>
          <w:rFonts w:ascii="Tahoma" w:hAnsi="Tahoma" w:cs="Tahoma"/>
          <w:bCs/>
          <w:iCs/>
        </w:rPr>
        <w:t>3</w:t>
      </w:r>
      <w:r w:rsidR="00856B93" w:rsidRPr="001D5AE2">
        <w:rPr>
          <w:rFonts w:ascii="Tahoma" w:hAnsi="Tahoma" w:cs="Tahoma"/>
          <w:bCs/>
          <w:iCs/>
        </w:rPr>
        <w:t xml:space="preserve">. </w:t>
      </w:r>
    </w:p>
    <w:p w14:paraId="22D08698" w14:textId="5282D6A6" w:rsidR="009A3BD3" w:rsidRPr="001D5AE2" w:rsidRDefault="009A3BD3" w:rsidP="00185DF7">
      <w:pPr>
        <w:spacing w:line="360" w:lineRule="auto"/>
        <w:jc w:val="both"/>
        <w:rPr>
          <w:rFonts w:ascii="Tahoma" w:hAnsi="Tahoma" w:cs="Tahoma"/>
          <w:bCs/>
          <w:iCs/>
        </w:rPr>
      </w:pPr>
      <w:r w:rsidRPr="001D5AE2">
        <w:rPr>
          <w:rFonts w:ascii="Tahoma" w:hAnsi="Tahoma" w:cs="Tahoma"/>
          <w:bCs/>
          <w:iCs/>
        </w:rPr>
        <w:t xml:space="preserve">Kebbi State Personnel costs </w:t>
      </w:r>
      <w:r w:rsidR="00412727" w:rsidRPr="001D5AE2">
        <w:rPr>
          <w:rFonts w:ascii="Tahoma" w:hAnsi="Tahoma" w:cs="Tahoma"/>
          <w:bCs/>
          <w:iCs/>
        </w:rPr>
        <w:t xml:space="preserve">increased by </w:t>
      </w:r>
      <w:r w:rsidR="007D09DE" w:rsidRPr="001D5AE2">
        <w:rPr>
          <w:rFonts w:ascii="Tahoma" w:hAnsi="Tahoma" w:cs="Tahoma"/>
          <w:bCs/>
          <w:iCs/>
        </w:rPr>
        <w:t>N2,000 million or</w:t>
      </w:r>
      <w:r w:rsidR="00280493" w:rsidRPr="001D5AE2">
        <w:rPr>
          <w:rFonts w:ascii="Tahoma" w:hAnsi="Tahoma" w:cs="Tahoma"/>
          <w:bCs/>
          <w:iCs/>
        </w:rPr>
        <w:t xml:space="preserve"> 13.54 percent </w:t>
      </w:r>
      <w:r w:rsidR="009201BF" w:rsidRPr="001D5AE2">
        <w:rPr>
          <w:rFonts w:ascii="Tahoma" w:hAnsi="Tahoma" w:cs="Tahoma"/>
          <w:bCs/>
          <w:iCs/>
        </w:rPr>
        <w:t>from 2019 to 2023</w:t>
      </w:r>
      <w:r w:rsidR="00BD3706" w:rsidRPr="001D5AE2">
        <w:rPr>
          <w:rFonts w:ascii="Tahoma" w:hAnsi="Tahoma" w:cs="Tahoma"/>
          <w:bCs/>
          <w:iCs/>
        </w:rPr>
        <w:t xml:space="preserve">. </w:t>
      </w:r>
      <w:r w:rsidRPr="001D5AE2">
        <w:rPr>
          <w:rFonts w:ascii="Tahoma" w:hAnsi="Tahoma" w:cs="Tahoma"/>
          <w:bCs/>
          <w:iCs/>
        </w:rPr>
        <w:t xml:space="preserve">Kebbi State Overhead costs </w:t>
      </w:r>
      <w:r w:rsidR="0023269B" w:rsidRPr="001D5AE2">
        <w:rPr>
          <w:rFonts w:ascii="Tahoma" w:hAnsi="Tahoma" w:cs="Tahoma"/>
          <w:bCs/>
          <w:iCs/>
        </w:rPr>
        <w:t xml:space="preserve">was increased </w:t>
      </w:r>
      <w:r w:rsidR="00BD7F5C" w:rsidRPr="001D5AE2">
        <w:rPr>
          <w:rFonts w:ascii="Tahoma" w:hAnsi="Tahoma" w:cs="Tahoma"/>
          <w:bCs/>
          <w:iCs/>
        </w:rPr>
        <w:t>from 35.24 percent or N5</w:t>
      </w:r>
      <w:proofErr w:type="gramStart"/>
      <w:r w:rsidR="00BD7F5C" w:rsidRPr="001D5AE2">
        <w:rPr>
          <w:rFonts w:ascii="Tahoma" w:hAnsi="Tahoma" w:cs="Tahoma"/>
          <w:bCs/>
          <w:iCs/>
        </w:rPr>
        <w:t>,126</w:t>
      </w:r>
      <w:proofErr w:type="gramEnd"/>
      <w:r w:rsidR="00BD7F5C" w:rsidRPr="001D5AE2">
        <w:rPr>
          <w:rFonts w:ascii="Tahoma" w:hAnsi="Tahoma" w:cs="Tahoma"/>
          <w:bCs/>
          <w:iCs/>
        </w:rPr>
        <w:t xml:space="preserve"> million </w:t>
      </w:r>
      <w:r w:rsidR="00703612" w:rsidRPr="001D5AE2">
        <w:rPr>
          <w:rFonts w:ascii="Tahoma" w:hAnsi="Tahoma" w:cs="Tahoma"/>
          <w:bCs/>
          <w:iCs/>
        </w:rPr>
        <w:t>from 2019 to 2023</w:t>
      </w:r>
      <w:r w:rsidRPr="001D5AE2">
        <w:rPr>
          <w:rFonts w:ascii="Tahoma" w:hAnsi="Tahoma" w:cs="Tahoma"/>
          <w:bCs/>
          <w:iCs/>
        </w:rPr>
        <w:t xml:space="preserve"> respectively. </w:t>
      </w:r>
    </w:p>
    <w:p w14:paraId="78C1B755" w14:textId="1C4D8CCB" w:rsidR="009A3BD3" w:rsidRPr="001D5AE2" w:rsidRDefault="009A3BD3" w:rsidP="00212DE0">
      <w:pPr>
        <w:spacing w:line="360" w:lineRule="auto"/>
        <w:jc w:val="both"/>
        <w:rPr>
          <w:rFonts w:ascii="Tahoma" w:hAnsi="Tahoma" w:cs="Tahoma"/>
          <w:bCs/>
          <w:iCs/>
        </w:rPr>
      </w:pPr>
      <w:r w:rsidRPr="001D5AE2">
        <w:rPr>
          <w:rFonts w:ascii="Tahoma" w:hAnsi="Tahoma" w:cs="Tahoma"/>
          <w:bCs/>
          <w:iCs/>
        </w:rPr>
        <w:t xml:space="preserve">Capital Expenditure: Capital Expenditure was </w:t>
      </w:r>
      <w:r w:rsidR="009B503F" w:rsidRPr="001D5AE2">
        <w:rPr>
          <w:rFonts w:ascii="Tahoma" w:hAnsi="Tahoma" w:cs="Tahoma"/>
          <w:bCs/>
          <w:iCs/>
        </w:rPr>
        <w:t>N44,37</w:t>
      </w:r>
      <w:r w:rsidR="00204E41" w:rsidRPr="001D5AE2">
        <w:rPr>
          <w:rFonts w:ascii="Tahoma" w:hAnsi="Tahoma" w:cs="Tahoma"/>
          <w:bCs/>
          <w:iCs/>
        </w:rPr>
        <w:t>9</w:t>
      </w:r>
      <w:r w:rsidR="001A2AE9" w:rsidRPr="001D5AE2">
        <w:rPr>
          <w:rFonts w:ascii="Tahoma" w:hAnsi="Tahoma" w:cs="Tahoma"/>
          <w:bCs/>
          <w:iCs/>
        </w:rPr>
        <w:t xml:space="preserve"> </w:t>
      </w:r>
      <w:r w:rsidR="009B503F" w:rsidRPr="001D5AE2">
        <w:rPr>
          <w:rFonts w:ascii="Tahoma" w:hAnsi="Tahoma" w:cs="Tahoma"/>
          <w:bCs/>
          <w:iCs/>
        </w:rPr>
        <w:t>million in 2019</w:t>
      </w:r>
      <w:r w:rsidR="00B30B03" w:rsidRPr="001D5AE2">
        <w:rPr>
          <w:rFonts w:ascii="Tahoma" w:hAnsi="Tahoma" w:cs="Tahoma"/>
          <w:bCs/>
          <w:iCs/>
        </w:rPr>
        <w:t xml:space="preserve">, </w:t>
      </w:r>
      <w:r w:rsidR="009B503F" w:rsidRPr="001D5AE2">
        <w:rPr>
          <w:rFonts w:ascii="Tahoma" w:hAnsi="Tahoma" w:cs="Tahoma"/>
          <w:bCs/>
          <w:iCs/>
        </w:rPr>
        <w:t>N26,34</w:t>
      </w:r>
      <w:r w:rsidR="0065122D" w:rsidRPr="001D5AE2">
        <w:rPr>
          <w:rFonts w:ascii="Tahoma" w:hAnsi="Tahoma" w:cs="Tahoma"/>
          <w:bCs/>
          <w:iCs/>
        </w:rPr>
        <w:t>4</w:t>
      </w:r>
      <w:r w:rsidR="00B30B03" w:rsidRPr="001D5AE2">
        <w:rPr>
          <w:rFonts w:ascii="Tahoma" w:hAnsi="Tahoma" w:cs="Tahoma"/>
          <w:bCs/>
          <w:iCs/>
        </w:rPr>
        <w:t xml:space="preserve"> </w:t>
      </w:r>
      <w:r w:rsidR="009B503F" w:rsidRPr="001D5AE2">
        <w:rPr>
          <w:rFonts w:ascii="Tahoma" w:hAnsi="Tahoma" w:cs="Tahoma"/>
          <w:bCs/>
          <w:iCs/>
        </w:rPr>
        <w:t xml:space="preserve">million </w:t>
      </w:r>
      <w:r w:rsidR="00B30B03" w:rsidRPr="001D5AE2">
        <w:rPr>
          <w:rFonts w:ascii="Tahoma" w:hAnsi="Tahoma" w:cs="Tahoma"/>
          <w:bCs/>
          <w:iCs/>
        </w:rPr>
        <w:t>in 2020</w:t>
      </w:r>
      <w:r w:rsidR="00204E41" w:rsidRPr="001D5AE2">
        <w:rPr>
          <w:rFonts w:ascii="Tahoma" w:hAnsi="Tahoma" w:cs="Tahoma"/>
          <w:bCs/>
          <w:iCs/>
        </w:rPr>
        <w:t xml:space="preserve">, </w:t>
      </w:r>
      <w:r w:rsidR="00B30B03" w:rsidRPr="001D5AE2">
        <w:rPr>
          <w:rFonts w:ascii="Tahoma" w:hAnsi="Tahoma" w:cs="Tahoma"/>
          <w:bCs/>
          <w:iCs/>
        </w:rPr>
        <w:t>N54,608 million in 2021,</w:t>
      </w:r>
      <w:r w:rsidR="00204E41" w:rsidRPr="001D5AE2">
        <w:rPr>
          <w:rFonts w:ascii="Tahoma" w:hAnsi="Tahoma" w:cs="Tahoma"/>
          <w:bCs/>
          <w:iCs/>
        </w:rPr>
        <w:t xml:space="preserve"> </w:t>
      </w:r>
      <w:r w:rsidR="00C31D25" w:rsidRPr="001D5AE2">
        <w:rPr>
          <w:rFonts w:ascii="Tahoma" w:hAnsi="Tahoma" w:cs="Tahoma"/>
          <w:bCs/>
          <w:iCs/>
        </w:rPr>
        <w:t>N49,704 million in 2022</w:t>
      </w:r>
      <w:r w:rsidR="00703612" w:rsidRPr="001D5AE2">
        <w:rPr>
          <w:rFonts w:ascii="Tahoma" w:hAnsi="Tahoma" w:cs="Tahoma"/>
          <w:bCs/>
          <w:iCs/>
        </w:rPr>
        <w:t xml:space="preserve"> and N</w:t>
      </w:r>
      <w:r w:rsidR="002A4357" w:rsidRPr="001D5AE2">
        <w:rPr>
          <w:rFonts w:ascii="Tahoma" w:hAnsi="Tahoma" w:cs="Tahoma"/>
          <w:bCs/>
          <w:iCs/>
        </w:rPr>
        <w:t>61,508 million</w:t>
      </w:r>
      <w:r w:rsidR="00B30B03" w:rsidRPr="001D5AE2">
        <w:rPr>
          <w:rFonts w:ascii="Tahoma" w:hAnsi="Tahoma" w:cs="Tahoma"/>
          <w:bCs/>
          <w:iCs/>
        </w:rPr>
        <w:t xml:space="preserve"> </w:t>
      </w:r>
      <w:r w:rsidR="009B503F" w:rsidRPr="001D5AE2">
        <w:rPr>
          <w:rFonts w:ascii="Tahoma" w:hAnsi="Tahoma" w:cs="Tahoma"/>
          <w:bCs/>
          <w:iCs/>
        </w:rPr>
        <w:t>respectively</w:t>
      </w:r>
      <w:r w:rsidRPr="001D5AE2">
        <w:rPr>
          <w:rFonts w:ascii="Tahoma" w:hAnsi="Tahoma" w:cs="Tahoma"/>
          <w:bCs/>
          <w:iCs/>
        </w:rPr>
        <w:t xml:space="preserve">, the decline </w:t>
      </w:r>
      <w:r w:rsidR="00B30B03" w:rsidRPr="001D5AE2">
        <w:rPr>
          <w:rFonts w:ascii="Tahoma" w:hAnsi="Tahoma" w:cs="Tahoma"/>
          <w:bCs/>
          <w:iCs/>
        </w:rPr>
        <w:t xml:space="preserve">in 2020 </w:t>
      </w:r>
      <w:r w:rsidRPr="001D5AE2">
        <w:rPr>
          <w:rFonts w:ascii="Tahoma" w:hAnsi="Tahoma" w:cs="Tahoma"/>
          <w:bCs/>
          <w:iCs/>
        </w:rPr>
        <w:t xml:space="preserve">was due to slow in activities </w:t>
      </w:r>
      <w:r w:rsidR="009B503F" w:rsidRPr="001D5AE2">
        <w:rPr>
          <w:rFonts w:ascii="Tahoma" w:hAnsi="Tahoma" w:cs="Tahoma"/>
          <w:bCs/>
          <w:iCs/>
        </w:rPr>
        <w:t xml:space="preserve">during </w:t>
      </w:r>
      <w:r w:rsidRPr="001D5AE2">
        <w:rPr>
          <w:rFonts w:ascii="Tahoma" w:hAnsi="Tahoma" w:cs="Tahoma"/>
          <w:bCs/>
          <w:iCs/>
        </w:rPr>
        <w:t>coronavirus pandemic.</w:t>
      </w:r>
    </w:p>
    <w:p w14:paraId="3CC78D63" w14:textId="3C43CDA8" w:rsidR="00212DE0" w:rsidRPr="001D5AE2" w:rsidRDefault="00212DE0" w:rsidP="00212DE0">
      <w:pPr>
        <w:spacing w:after="0" w:line="360" w:lineRule="auto"/>
        <w:jc w:val="both"/>
        <w:rPr>
          <w:rFonts w:ascii="Tahoma" w:hAnsi="Tahoma" w:cs="Tahoma"/>
          <w:b/>
          <w:iCs/>
        </w:rPr>
      </w:pPr>
      <w:r w:rsidRPr="001D5AE2">
        <w:rPr>
          <w:rFonts w:ascii="Tahoma" w:hAnsi="Tahoma" w:cs="Tahoma"/>
          <w:b/>
          <w:iCs/>
        </w:rPr>
        <w:t>Total Expenditure, 2019-2023 (NGN’ Million)</w:t>
      </w:r>
    </w:p>
    <w:tbl>
      <w:tblPr>
        <w:tblW w:w="856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5"/>
        <w:gridCol w:w="1115"/>
        <w:gridCol w:w="1109"/>
        <w:gridCol w:w="1170"/>
        <w:gridCol w:w="1170"/>
        <w:gridCol w:w="1170"/>
      </w:tblGrid>
      <w:tr w:rsidR="00F439C3" w:rsidRPr="001D5AE2" w14:paraId="507D9128" w14:textId="77777777" w:rsidTr="00540713">
        <w:trPr>
          <w:trHeight w:val="276"/>
        </w:trPr>
        <w:tc>
          <w:tcPr>
            <w:tcW w:w="2835" w:type="dxa"/>
            <w:shd w:val="clear" w:color="auto" w:fill="92D050"/>
            <w:noWrap/>
            <w:vAlign w:val="bottom"/>
            <w:hideMark/>
          </w:tcPr>
          <w:p w14:paraId="2F1BB92D" w14:textId="77777777" w:rsidR="00F439C3" w:rsidRPr="001D5AE2" w:rsidRDefault="00F439C3" w:rsidP="00F439C3">
            <w:pPr>
              <w:spacing w:after="0" w:line="240" w:lineRule="auto"/>
              <w:rPr>
                <w:rFonts w:eastAsia="Times New Roman" w:cstheme="minorHAnsi"/>
                <w:b/>
                <w:bCs/>
                <w:sz w:val="20"/>
                <w:szCs w:val="20"/>
              </w:rPr>
            </w:pPr>
            <w:r w:rsidRPr="001D5AE2">
              <w:rPr>
                <w:rFonts w:eastAsia="Times New Roman" w:cstheme="minorHAnsi"/>
                <w:b/>
                <w:bCs/>
                <w:sz w:val="20"/>
                <w:szCs w:val="20"/>
              </w:rPr>
              <w:t>Expenditure Performance</w:t>
            </w:r>
          </w:p>
        </w:tc>
        <w:tc>
          <w:tcPr>
            <w:tcW w:w="1115" w:type="dxa"/>
            <w:shd w:val="clear" w:color="auto" w:fill="92D050"/>
            <w:noWrap/>
            <w:hideMark/>
          </w:tcPr>
          <w:p w14:paraId="559BB3C9" w14:textId="2CE175FC" w:rsidR="00F439C3" w:rsidRPr="001D5AE2" w:rsidRDefault="00F439C3" w:rsidP="00F439C3">
            <w:pPr>
              <w:spacing w:after="0" w:line="240" w:lineRule="auto"/>
              <w:jc w:val="right"/>
              <w:rPr>
                <w:rFonts w:eastAsia="Times New Roman" w:cstheme="minorHAnsi"/>
                <w:b/>
                <w:bCs/>
                <w:color w:val="000000"/>
                <w:sz w:val="20"/>
                <w:szCs w:val="20"/>
              </w:rPr>
            </w:pPr>
            <w:r w:rsidRPr="001D5AE2">
              <w:t>2019</w:t>
            </w:r>
          </w:p>
        </w:tc>
        <w:tc>
          <w:tcPr>
            <w:tcW w:w="1109" w:type="dxa"/>
            <w:shd w:val="clear" w:color="auto" w:fill="92D050"/>
            <w:noWrap/>
            <w:hideMark/>
          </w:tcPr>
          <w:p w14:paraId="514D07F3" w14:textId="781C1133" w:rsidR="00F439C3" w:rsidRPr="001D5AE2" w:rsidRDefault="00F439C3" w:rsidP="00F439C3">
            <w:pPr>
              <w:spacing w:after="0" w:line="240" w:lineRule="auto"/>
              <w:jc w:val="right"/>
              <w:rPr>
                <w:rFonts w:eastAsia="Times New Roman" w:cstheme="minorHAnsi"/>
                <w:b/>
                <w:bCs/>
                <w:color w:val="000000"/>
                <w:sz w:val="20"/>
                <w:szCs w:val="20"/>
              </w:rPr>
            </w:pPr>
            <w:r w:rsidRPr="001D5AE2">
              <w:t>2020</w:t>
            </w:r>
          </w:p>
        </w:tc>
        <w:tc>
          <w:tcPr>
            <w:tcW w:w="1170" w:type="dxa"/>
            <w:shd w:val="clear" w:color="auto" w:fill="92D050"/>
            <w:noWrap/>
            <w:hideMark/>
          </w:tcPr>
          <w:p w14:paraId="1336DEA1" w14:textId="34E203EC" w:rsidR="00F439C3" w:rsidRPr="001D5AE2" w:rsidRDefault="00F439C3" w:rsidP="00F439C3">
            <w:pPr>
              <w:spacing w:after="0" w:line="240" w:lineRule="auto"/>
              <w:jc w:val="right"/>
              <w:rPr>
                <w:rFonts w:eastAsia="Times New Roman" w:cstheme="minorHAnsi"/>
                <w:b/>
                <w:bCs/>
                <w:color w:val="000000"/>
                <w:sz w:val="20"/>
                <w:szCs w:val="20"/>
              </w:rPr>
            </w:pPr>
            <w:r w:rsidRPr="001D5AE2">
              <w:t>2021</w:t>
            </w:r>
          </w:p>
        </w:tc>
        <w:tc>
          <w:tcPr>
            <w:tcW w:w="1170" w:type="dxa"/>
            <w:shd w:val="clear" w:color="auto" w:fill="92D050"/>
            <w:noWrap/>
            <w:hideMark/>
          </w:tcPr>
          <w:p w14:paraId="3B0788CD" w14:textId="43DDBF2B" w:rsidR="00F439C3" w:rsidRPr="001D5AE2" w:rsidRDefault="00F439C3" w:rsidP="00F439C3">
            <w:pPr>
              <w:spacing w:after="0" w:line="240" w:lineRule="auto"/>
              <w:jc w:val="right"/>
              <w:rPr>
                <w:rFonts w:eastAsia="Times New Roman" w:cstheme="minorHAnsi"/>
                <w:b/>
                <w:bCs/>
                <w:color w:val="000000"/>
                <w:sz w:val="20"/>
                <w:szCs w:val="20"/>
              </w:rPr>
            </w:pPr>
            <w:r w:rsidRPr="001D5AE2">
              <w:t>2022</w:t>
            </w:r>
          </w:p>
        </w:tc>
        <w:tc>
          <w:tcPr>
            <w:tcW w:w="1170" w:type="dxa"/>
            <w:shd w:val="clear" w:color="auto" w:fill="92D050"/>
            <w:noWrap/>
            <w:hideMark/>
          </w:tcPr>
          <w:p w14:paraId="2B17F0CC" w14:textId="227D2D8E" w:rsidR="00F439C3" w:rsidRPr="001D5AE2" w:rsidRDefault="00F439C3" w:rsidP="00F439C3">
            <w:pPr>
              <w:spacing w:after="0" w:line="240" w:lineRule="auto"/>
              <w:jc w:val="right"/>
              <w:rPr>
                <w:rFonts w:eastAsia="Times New Roman" w:cstheme="minorHAnsi"/>
                <w:b/>
                <w:bCs/>
                <w:color w:val="000000"/>
                <w:sz w:val="20"/>
                <w:szCs w:val="20"/>
              </w:rPr>
            </w:pPr>
            <w:r w:rsidRPr="001D5AE2">
              <w:t>202</w:t>
            </w:r>
            <w:r w:rsidR="00E23838" w:rsidRPr="001D5AE2">
              <w:t>3</w:t>
            </w:r>
          </w:p>
        </w:tc>
      </w:tr>
      <w:tr w:rsidR="00F439C3" w:rsidRPr="001D5AE2" w14:paraId="69AD87C8" w14:textId="77777777" w:rsidTr="00540713">
        <w:trPr>
          <w:trHeight w:val="276"/>
        </w:trPr>
        <w:tc>
          <w:tcPr>
            <w:tcW w:w="2835" w:type="dxa"/>
            <w:shd w:val="clear" w:color="auto" w:fill="auto"/>
            <w:noWrap/>
            <w:vAlign w:val="bottom"/>
            <w:hideMark/>
          </w:tcPr>
          <w:p w14:paraId="7C369D92" w14:textId="77777777" w:rsidR="00F439C3" w:rsidRPr="001D5AE2" w:rsidRDefault="00F439C3" w:rsidP="00F439C3">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Total Expenditure</w:t>
            </w:r>
          </w:p>
        </w:tc>
        <w:tc>
          <w:tcPr>
            <w:tcW w:w="1115" w:type="dxa"/>
            <w:shd w:val="clear" w:color="auto" w:fill="auto"/>
            <w:noWrap/>
            <w:hideMark/>
          </w:tcPr>
          <w:p w14:paraId="5647D569" w14:textId="29EAB772" w:rsidR="00F439C3" w:rsidRPr="001D5AE2" w:rsidRDefault="00F439C3" w:rsidP="00F439C3">
            <w:pPr>
              <w:spacing w:after="0" w:line="240" w:lineRule="auto"/>
              <w:jc w:val="right"/>
              <w:rPr>
                <w:rFonts w:eastAsia="Times New Roman" w:cstheme="minorHAnsi"/>
                <w:color w:val="000000"/>
                <w:sz w:val="20"/>
                <w:szCs w:val="20"/>
              </w:rPr>
            </w:pPr>
            <w:r w:rsidRPr="001D5AE2">
              <w:t>93,769</w:t>
            </w:r>
          </w:p>
        </w:tc>
        <w:tc>
          <w:tcPr>
            <w:tcW w:w="1109" w:type="dxa"/>
            <w:shd w:val="clear" w:color="auto" w:fill="auto"/>
            <w:noWrap/>
            <w:hideMark/>
          </w:tcPr>
          <w:p w14:paraId="1CD3023A" w14:textId="1D0F6840" w:rsidR="00F439C3" w:rsidRPr="001D5AE2" w:rsidRDefault="00F439C3" w:rsidP="00F439C3">
            <w:pPr>
              <w:spacing w:after="0" w:line="240" w:lineRule="auto"/>
              <w:jc w:val="right"/>
              <w:rPr>
                <w:rFonts w:eastAsia="Times New Roman" w:cstheme="minorHAnsi"/>
                <w:color w:val="000000"/>
                <w:sz w:val="20"/>
                <w:szCs w:val="20"/>
              </w:rPr>
            </w:pPr>
            <w:r w:rsidRPr="001D5AE2">
              <w:t>78,743</w:t>
            </w:r>
          </w:p>
        </w:tc>
        <w:tc>
          <w:tcPr>
            <w:tcW w:w="1170" w:type="dxa"/>
            <w:shd w:val="clear" w:color="auto" w:fill="auto"/>
            <w:noWrap/>
            <w:hideMark/>
          </w:tcPr>
          <w:p w14:paraId="66091FD1" w14:textId="0DCFF0B3" w:rsidR="00F439C3" w:rsidRPr="001D5AE2" w:rsidRDefault="00F439C3" w:rsidP="00F439C3">
            <w:pPr>
              <w:spacing w:after="0" w:line="240" w:lineRule="auto"/>
              <w:jc w:val="right"/>
              <w:rPr>
                <w:rFonts w:eastAsia="Times New Roman" w:cstheme="minorHAnsi"/>
                <w:color w:val="000000"/>
                <w:sz w:val="20"/>
                <w:szCs w:val="20"/>
              </w:rPr>
            </w:pPr>
            <w:r w:rsidRPr="001D5AE2">
              <w:t>92,674</w:t>
            </w:r>
          </w:p>
        </w:tc>
        <w:tc>
          <w:tcPr>
            <w:tcW w:w="1170" w:type="dxa"/>
            <w:shd w:val="clear" w:color="auto" w:fill="auto"/>
            <w:noWrap/>
            <w:hideMark/>
          </w:tcPr>
          <w:p w14:paraId="07169056" w14:textId="40CDDBD0" w:rsidR="00F439C3" w:rsidRPr="001D5AE2" w:rsidRDefault="00F439C3" w:rsidP="00F439C3">
            <w:pPr>
              <w:spacing w:after="0" w:line="240" w:lineRule="auto"/>
              <w:jc w:val="right"/>
              <w:rPr>
                <w:rFonts w:eastAsia="Times New Roman" w:cstheme="minorHAnsi"/>
                <w:color w:val="000000"/>
                <w:sz w:val="20"/>
                <w:szCs w:val="20"/>
              </w:rPr>
            </w:pPr>
            <w:r w:rsidRPr="001D5AE2">
              <w:t>93,325</w:t>
            </w:r>
          </w:p>
        </w:tc>
        <w:tc>
          <w:tcPr>
            <w:tcW w:w="1170" w:type="dxa"/>
            <w:shd w:val="clear" w:color="auto" w:fill="auto"/>
            <w:noWrap/>
          </w:tcPr>
          <w:p w14:paraId="07ABECF1" w14:textId="460AEF5D" w:rsidR="00F439C3" w:rsidRPr="001D5AE2" w:rsidRDefault="00F439C3" w:rsidP="00F439C3">
            <w:pPr>
              <w:spacing w:after="0" w:line="240" w:lineRule="auto"/>
              <w:jc w:val="right"/>
              <w:rPr>
                <w:rFonts w:eastAsia="Times New Roman" w:cstheme="minorHAnsi"/>
                <w:color w:val="000000"/>
                <w:sz w:val="20"/>
                <w:szCs w:val="20"/>
              </w:rPr>
            </w:pPr>
            <w:r w:rsidRPr="001D5AE2">
              <w:t>112,272</w:t>
            </w:r>
          </w:p>
        </w:tc>
      </w:tr>
      <w:tr w:rsidR="00F439C3" w:rsidRPr="001D5AE2" w14:paraId="2FE89F70" w14:textId="77777777" w:rsidTr="00540713">
        <w:trPr>
          <w:trHeight w:val="276"/>
        </w:trPr>
        <w:tc>
          <w:tcPr>
            <w:tcW w:w="2835" w:type="dxa"/>
            <w:shd w:val="clear" w:color="auto" w:fill="auto"/>
            <w:noWrap/>
            <w:vAlign w:val="bottom"/>
            <w:hideMark/>
          </w:tcPr>
          <w:p w14:paraId="413EE045" w14:textId="77777777" w:rsidR="00F439C3" w:rsidRPr="001D5AE2" w:rsidRDefault="00F439C3" w:rsidP="00F439C3">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Personnel</w:t>
            </w:r>
          </w:p>
        </w:tc>
        <w:tc>
          <w:tcPr>
            <w:tcW w:w="1115" w:type="dxa"/>
            <w:shd w:val="clear" w:color="auto" w:fill="auto"/>
            <w:noWrap/>
            <w:hideMark/>
          </w:tcPr>
          <w:p w14:paraId="242E7E07" w14:textId="4F683BAD" w:rsidR="00F439C3" w:rsidRPr="001D5AE2" w:rsidRDefault="00F439C3" w:rsidP="00F439C3">
            <w:pPr>
              <w:spacing w:after="0" w:line="240" w:lineRule="auto"/>
              <w:jc w:val="right"/>
              <w:rPr>
                <w:rFonts w:eastAsia="Times New Roman" w:cstheme="minorHAnsi"/>
                <w:color w:val="000000"/>
                <w:sz w:val="20"/>
                <w:szCs w:val="20"/>
              </w:rPr>
            </w:pPr>
            <w:r w:rsidRPr="001D5AE2">
              <w:t>22,155</w:t>
            </w:r>
          </w:p>
        </w:tc>
        <w:tc>
          <w:tcPr>
            <w:tcW w:w="1109" w:type="dxa"/>
            <w:shd w:val="clear" w:color="auto" w:fill="auto"/>
            <w:noWrap/>
            <w:hideMark/>
          </w:tcPr>
          <w:p w14:paraId="26A5868C" w14:textId="0C3CE4A5" w:rsidR="00F439C3" w:rsidRPr="001D5AE2" w:rsidRDefault="00F439C3" w:rsidP="00F439C3">
            <w:pPr>
              <w:spacing w:after="0" w:line="240" w:lineRule="auto"/>
              <w:jc w:val="right"/>
              <w:rPr>
                <w:rFonts w:eastAsia="Times New Roman" w:cstheme="minorHAnsi"/>
                <w:color w:val="000000"/>
                <w:sz w:val="20"/>
                <w:szCs w:val="20"/>
              </w:rPr>
            </w:pPr>
            <w:r w:rsidRPr="001D5AE2">
              <w:t>26,095</w:t>
            </w:r>
          </w:p>
        </w:tc>
        <w:tc>
          <w:tcPr>
            <w:tcW w:w="1170" w:type="dxa"/>
            <w:shd w:val="clear" w:color="auto" w:fill="auto"/>
            <w:noWrap/>
            <w:hideMark/>
          </w:tcPr>
          <w:p w14:paraId="37275E95" w14:textId="34455DAE" w:rsidR="00F439C3" w:rsidRPr="001D5AE2" w:rsidRDefault="00F439C3" w:rsidP="00F439C3">
            <w:pPr>
              <w:spacing w:after="0" w:line="240" w:lineRule="auto"/>
              <w:jc w:val="right"/>
              <w:rPr>
                <w:rFonts w:eastAsia="Times New Roman" w:cstheme="minorHAnsi"/>
                <w:color w:val="000000"/>
                <w:sz w:val="20"/>
                <w:szCs w:val="20"/>
              </w:rPr>
            </w:pPr>
            <w:r w:rsidRPr="001D5AE2">
              <w:t>24,091</w:t>
            </w:r>
          </w:p>
        </w:tc>
        <w:tc>
          <w:tcPr>
            <w:tcW w:w="1170" w:type="dxa"/>
            <w:shd w:val="clear" w:color="auto" w:fill="auto"/>
            <w:noWrap/>
            <w:hideMark/>
          </w:tcPr>
          <w:p w14:paraId="7C645D08" w14:textId="5FA5C33E" w:rsidR="00F439C3" w:rsidRPr="001D5AE2" w:rsidRDefault="00F439C3" w:rsidP="00F439C3">
            <w:pPr>
              <w:spacing w:after="0" w:line="240" w:lineRule="auto"/>
              <w:jc w:val="right"/>
              <w:rPr>
                <w:rFonts w:eastAsia="Times New Roman" w:cstheme="minorHAnsi"/>
                <w:color w:val="000000"/>
                <w:sz w:val="20"/>
                <w:szCs w:val="20"/>
              </w:rPr>
            </w:pPr>
            <w:r w:rsidRPr="001D5AE2">
              <w:t>24,842</w:t>
            </w:r>
          </w:p>
        </w:tc>
        <w:tc>
          <w:tcPr>
            <w:tcW w:w="1170" w:type="dxa"/>
            <w:shd w:val="clear" w:color="auto" w:fill="auto"/>
            <w:noWrap/>
          </w:tcPr>
          <w:p w14:paraId="3151F31E" w14:textId="342D5E5A" w:rsidR="00F439C3" w:rsidRPr="001D5AE2" w:rsidRDefault="00F439C3" w:rsidP="00F439C3">
            <w:pPr>
              <w:spacing w:after="0" w:line="240" w:lineRule="auto"/>
              <w:jc w:val="right"/>
              <w:rPr>
                <w:rFonts w:eastAsia="Times New Roman" w:cstheme="minorHAnsi"/>
                <w:color w:val="000000"/>
                <w:sz w:val="20"/>
                <w:szCs w:val="20"/>
              </w:rPr>
            </w:pPr>
            <w:r w:rsidRPr="001D5AE2">
              <w:t>25,154</w:t>
            </w:r>
          </w:p>
        </w:tc>
      </w:tr>
      <w:tr w:rsidR="00F439C3" w:rsidRPr="001D5AE2" w14:paraId="76D85141" w14:textId="77777777" w:rsidTr="00540713">
        <w:trPr>
          <w:trHeight w:val="276"/>
        </w:trPr>
        <w:tc>
          <w:tcPr>
            <w:tcW w:w="2835" w:type="dxa"/>
            <w:shd w:val="clear" w:color="auto" w:fill="auto"/>
            <w:noWrap/>
            <w:vAlign w:val="bottom"/>
            <w:hideMark/>
          </w:tcPr>
          <w:p w14:paraId="0A3967DA" w14:textId="77777777" w:rsidR="00F439C3" w:rsidRPr="001D5AE2" w:rsidRDefault="00F439C3" w:rsidP="00F439C3">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Overhead Costs</w:t>
            </w:r>
          </w:p>
        </w:tc>
        <w:tc>
          <w:tcPr>
            <w:tcW w:w="1115" w:type="dxa"/>
            <w:shd w:val="clear" w:color="auto" w:fill="auto"/>
            <w:noWrap/>
            <w:hideMark/>
          </w:tcPr>
          <w:p w14:paraId="5751D9B4" w14:textId="7436688B" w:rsidR="00F439C3" w:rsidRPr="001D5AE2" w:rsidRDefault="00F439C3" w:rsidP="00F439C3">
            <w:pPr>
              <w:spacing w:after="0" w:line="240" w:lineRule="auto"/>
              <w:jc w:val="right"/>
              <w:rPr>
                <w:rFonts w:eastAsia="Times New Roman" w:cstheme="minorHAnsi"/>
                <w:color w:val="000000"/>
                <w:sz w:val="20"/>
                <w:szCs w:val="20"/>
              </w:rPr>
            </w:pPr>
            <w:r w:rsidRPr="001D5AE2">
              <w:t>14,548</w:t>
            </w:r>
          </w:p>
        </w:tc>
        <w:tc>
          <w:tcPr>
            <w:tcW w:w="1109" w:type="dxa"/>
            <w:shd w:val="clear" w:color="auto" w:fill="auto"/>
            <w:noWrap/>
            <w:hideMark/>
          </w:tcPr>
          <w:p w14:paraId="7A19C17A" w14:textId="7AEB2D7B" w:rsidR="00F439C3" w:rsidRPr="001D5AE2" w:rsidRDefault="00F439C3" w:rsidP="00F439C3">
            <w:pPr>
              <w:spacing w:after="0" w:line="240" w:lineRule="auto"/>
              <w:jc w:val="right"/>
              <w:rPr>
                <w:rFonts w:eastAsia="Times New Roman" w:cstheme="minorHAnsi"/>
                <w:color w:val="000000"/>
                <w:sz w:val="20"/>
                <w:szCs w:val="20"/>
              </w:rPr>
            </w:pPr>
            <w:r w:rsidRPr="001D5AE2">
              <w:t>9,643</w:t>
            </w:r>
          </w:p>
        </w:tc>
        <w:tc>
          <w:tcPr>
            <w:tcW w:w="1170" w:type="dxa"/>
            <w:shd w:val="clear" w:color="auto" w:fill="auto"/>
            <w:noWrap/>
            <w:hideMark/>
          </w:tcPr>
          <w:p w14:paraId="49206586" w14:textId="55E6FFF9" w:rsidR="00F439C3" w:rsidRPr="001D5AE2" w:rsidRDefault="00F439C3" w:rsidP="00F439C3">
            <w:pPr>
              <w:spacing w:after="0" w:line="240" w:lineRule="auto"/>
              <w:jc w:val="right"/>
              <w:rPr>
                <w:rFonts w:eastAsia="Times New Roman" w:cstheme="minorHAnsi"/>
                <w:color w:val="000000"/>
                <w:sz w:val="20"/>
                <w:szCs w:val="20"/>
              </w:rPr>
            </w:pPr>
            <w:r w:rsidRPr="001D5AE2">
              <w:t>10,376</w:t>
            </w:r>
          </w:p>
        </w:tc>
        <w:tc>
          <w:tcPr>
            <w:tcW w:w="1170" w:type="dxa"/>
            <w:shd w:val="clear" w:color="auto" w:fill="auto"/>
            <w:noWrap/>
            <w:hideMark/>
          </w:tcPr>
          <w:p w14:paraId="7AE3976C" w14:textId="2C4E4CDC" w:rsidR="00F439C3" w:rsidRPr="001D5AE2" w:rsidRDefault="00F439C3" w:rsidP="00F439C3">
            <w:pPr>
              <w:spacing w:after="0" w:line="240" w:lineRule="auto"/>
              <w:jc w:val="right"/>
              <w:rPr>
                <w:rFonts w:eastAsia="Times New Roman" w:cstheme="minorHAnsi"/>
                <w:color w:val="000000"/>
                <w:sz w:val="20"/>
                <w:szCs w:val="20"/>
              </w:rPr>
            </w:pPr>
            <w:r w:rsidRPr="001D5AE2">
              <w:t>10,778</w:t>
            </w:r>
          </w:p>
        </w:tc>
        <w:tc>
          <w:tcPr>
            <w:tcW w:w="1170" w:type="dxa"/>
            <w:shd w:val="clear" w:color="auto" w:fill="auto"/>
            <w:noWrap/>
          </w:tcPr>
          <w:p w14:paraId="083510F6" w14:textId="124E1051" w:rsidR="00F439C3" w:rsidRPr="001D5AE2" w:rsidRDefault="00F439C3" w:rsidP="00F439C3">
            <w:pPr>
              <w:spacing w:after="0" w:line="240" w:lineRule="auto"/>
              <w:jc w:val="right"/>
              <w:rPr>
                <w:rFonts w:eastAsia="Times New Roman" w:cstheme="minorHAnsi"/>
                <w:color w:val="000000"/>
                <w:sz w:val="20"/>
                <w:szCs w:val="20"/>
              </w:rPr>
            </w:pPr>
            <w:r w:rsidRPr="001D5AE2">
              <w:t>19,674</w:t>
            </w:r>
          </w:p>
        </w:tc>
      </w:tr>
      <w:tr w:rsidR="00F439C3" w:rsidRPr="001D5AE2" w14:paraId="65EC16B1" w14:textId="77777777" w:rsidTr="00540713">
        <w:trPr>
          <w:trHeight w:val="276"/>
        </w:trPr>
        <w:tc>
          <w:tcPr>
            <w:tcW w:w="2835" w:type="dxa"/>
            <w:shd w:val="clear" w:color="auto" w:fill="auto"/>
            <w:noWrap/>
            <w:vAlign w:val="bottom"/>
            <w:hideMark/>
          </w:tcPr>
          <w:p w14:paraId="63B22B0A" w14:textId="52C4E6C6" w:rsidR="00F439C3" w:rsidRPr="001D5AE2" w:rsidRDefault="00F439C3" w:rsidP="00F439C3">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Debt Service (Interests + Amortizations)</w:t>
            </w:r>
          </w:p>
        </w:tc>
        <w:tc>
          <w:tcPr>
            <w:tcW w:w="1115" w:type="dxa"/>
            <w:shd w:val="clear" w:color="auto" w:fill="auto"/>
            <w:noWrap/>
            <w:hideMark/>
          </w:tcPr>
          <w:p w14:paraId="452A055C" w14:textId="17A8B456" w:rsidR="00F439C3" w:rsidRPr="001D5AE2" w:rsidRDefault="00F439C3" w:rsidP="00F439C3">
            <w:pPr>
              <w:spacing w:after="0" w:line="240" w:lineRule="auto"/>
              <w:jc w:val="right"/>
              <w:rPr>
                <w:rFonts w:eastAsia="Times New Roman" w:cstheme="minorHAnsi"/>
                <w:color w:val="000000"/>
                <w:sz w:val="20"/>
                <w:szCs w:val="20"/>
              </w:rPr>
            </w:pPr>
            <w:r w:rsidRPr="001D5AE2">
              <w:t>12,687</w:t>
            </w:r>
          </w:p>
        </w:tc>
        <w:tc>
          <w:tcPr>
            <w:tcW w:w="1109" w:type="dxa"/>
            <w:shd w:val="clear" w:color="auto" w:fill="auto"/>
            <w:noWrap/>
            <w:hideMark/>
          </w:tcPr>
          <w:p w14:paraId="781C7562" w14:textId="3035E6CC" w:rsidR="00F439C3" w:rsidRPr="001D5AE2" w:rsidRDefault="00F439C3" w:rsidP="00F439C3">
            <w:pPr>
              <w:spacing w:after="0" w:line="240" w:lineRule="auto"/>
              <w:jc w:val="right"/>
              <w:rPr>
                <w:rFonts w:eastAsia="Times New Roman" w:cstheme="minorHAnsi"/>
                <w:color w:val="000000"/>
                <w:sz w:val="20"/>
                <w:szCs w:val="20"/>
              </w:rPr>
            </w:pPr>
            <w:r w:rsidRPr="001D5AE2">
              <w:t>16,661</w:t>
            </w:r>
          </w:p>
        </w:tc>
        <w:tc>
          <w:tcPr>
            <w:tcW w:w="1170" w:type="dxa"/>
            <w:shd w:val="clear" w:color="auto" w:fill="auto"/>
            <w:noWrap/>
            <w:hideMark/>
          </w:tcPr>
          <w:p w14:paraId="76D01E12" w14:textId="273B7C04" w:rsidR="00F439C3" w:rsidRPr="001D5AE2" w:rsidRDefault="00F439C3" w:rsidP="00F439C3">
            <w:pPr>
              <w:spacing w:after="0" w:line="240" w:lineRule="auto"/>
              <w:jc w:val="right"/>
              <w:rPr>
                <w:rFonts w:eastAsia="Times New Roman" w:cstheme="minorHAnsi"/>
                <w:color w:val="000000"/>
                <w:sz w:val="20"/>
                <w:szCs w:val="20"/>
              </w:rPr>
            </w:pPr>
            <w:r w:rsidRPr="001D5AE2">
              <w:t>0</w:t>
            </w:r>
          </w:p>
        </w:tc>
        <w:tc>
          <w:tcPr>
            <w:tcW w:w="1170" w:type="dxa"/>
            <w:shd w:val="clear" w:color="auto" w:fill="auto"/>
            <w:noWrap/>
            <w:hideMark/>
          </w:tcPr>
          <w:p w14:paraId="291E80EA" w14:textId="28EBA1D4" w:rsidR="00F439C3" w:rsidRPr="001D5AE2" w:rsidRDefault="00F439C3" w:rsidP="00F439C3">
            <w:pPr>
              <w:spacing w:after="0" w:line="240" w:lineRule="auto"/>
              <w:jc w:val="right"/>
              <w:rPr>
                <w:rFonts w:eastAsia="Times New Roman" w:cstheme="minorHAnsi"/>
                <w:color w:val="000000"/>
                <w:sz w:val="20"/>
                <w:szCs w:val="20"/>
              </w:rPr>
            </w:pPr>
            <w:r w:rsidRPr="001D5AE2">
              <w:t>0</w:t>
            </w:r>
          </w:p>
        </w:tc>
        <w:tc>
          <w:tcPr>
            <w:tcW w:w="1170" w:type="dxa"/>
            <w:shd w:val="clear" w:color="auto" w:fill="auto"/>
            <w:noWrap/>
          </w:tcPr>
          <w:p w14:paraId="12446BE6" w14:textId="4B1DC720" w:rsidR="00F439C3" w:rsidRPr="001D5AE2" w:rsidRDefault="00F439C3" w:rsidP="00F439C3">
            <w:pPr>
              <w:spacing w:after="0" w:line="240" w:lineRule="auto"/>
              <w:jc w:val="right"/>
              <w:rPr>
                <w:rFonts w:eastAsia="Times New Roman" w:cstheme="minorHAnsi"/>
                <w:color w:val="000000"/>
                <w:sz w:val="20"/>
                <w:szCs w:val="20"/>
              </w:rPr>
            </w:pPr>
            <w:r w:rsidRPr="001D5AE2">
              <w:t>5,935</w:t>
            </w:r>
          </w:p>
        </w:tc>
      </w:tr>
      <w:tr w:rsidR="00F439C3" w:rsidRPr="001D5AE2" w14:paraId="66BEA011" w14:textId="77777777" w:rsidTr="00540713">
        <w:trPr>
          <w:trHeight w:val="276"/>
        </w:trPr>
        <w:tc>
          <w:tcPr>
            <w:tcW w:w="2835" w:type="dxa"/>
            <w:shd w:val="clear" w:color="auto" w:fill="auto"/>
            <w:noWrap/>
            <w:vAlign w:val="bottom"/>
            <w:hideMark/>
          </w:tcPr>
          <w:p w14:paraId="2D2F70B9" w14:textId="77777777" w:rsidR="00F439C3" w:rsidRPr="001D5AE2" w:rsidRDefault="00F439C3" w:rsidP="00F439C3">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Other Recurrent Expenditures</w:t>
            </w:r>
          </w:p>
        </w:tc>
        <w:tc>
          <w:tcPr>
            <w:tcW w:w="1115" w:type="dxa"/>
            <w:shd w:val="clear" w:color="auto" w:fill="auto"/>
            <w:noWrap/>
            <w:hideMark/>
          </w:tcPr>
          <w:p w14:paraId="10043CAE" w14:textId="7DE49BD0" w:rsidR="00F439C3" w:rsidRPr="001D5AE2" w:rsidRDefault="00F439C3" w:rsidP="00F439C3">
            <w:pPr>
              <w:spacing w:after="0" w:line="240" w:lineRule="auto"/>
              <w:jc w:val="right"/>
              <w:rPr>
                <w:rFonts w:eastAsia="Times New Roman" w:cstheme="minorHAnsi"/>
                <w:color w:val="000000"/>
                <w:sz w:val="20"/>
                <w:szCs w:val="20"/>
              </w:rPr>
            </w:pPr>
            <w:r w:rsidRPr="001D5AE2">
              <w:t>0</w:t>
            </w:r>
          </w:p>
        </w:tc>
        <w:tc>
          <w:tcPr>
            <w:tcW w:w="1109" w:type="dxa"/>
            <w:shd w:val="clear" w:color="auto" w:fill="auto"/>
            <w:noWrap/>
            <w:hideMark/>
          </w:tcPr>
          <w:p w14:paraId="0D98A007" w14:textId="4CEBFE4B" w:rsidR="00F439C3" w:rsidRPr="001D5AE2" w:rsidRDefault="00F439C3" w:rsidP="00F439C3">
            <w:pPr>
              <w:spacing w:after="0" w:line="240" w:lineRule="auto"/>
              <w:jc w:val="right"/>
              <w:rPr>
                <w:rFonts w:eastAsia="Times New Roman" w:cstheme="minorHAnsi"/>
                <w:color w:val="000000"/>
                <w:sz w:val="20"/>
                <w:szCs w:val="20"/>
              </w:rPr>
            </w:pPr>
            <w:r w:rsidRPr="001D5AE2">
              <w:t>0</w:t>
            </w:r>
          </w:p>
        </w:tc>
        <w:tc>
          <w:tcPr>
            <w:tcW w:w="1170" w:type="dxa"/>
            <w:shd w:val="clear" w:color="auto" w:fill="auto"/>
            <w:noWrap/>
            <w:hideMark/>
          </w:tcPr>
          <w:p w14:paraId="333FE497" w14:textId="29C8729F" w:rsidR="00F439C3" w:rsidRPr="001D5AE2" w:rsidRDefault="00F439C3" w:rsidP="00F439C3">
            <w:pPr>
              <w:spacing w:after="0" w:line="240" w:lineRule="auto"/>
              <w:jc w:val="right"/>
              <w:rPr>
                <w:rFonts w:eastAsia="Times New Roman" w:cstheme="minorHAnsi"/>
                <w:color w:val="000000"/>
                <w:sz w:val="20"/>
                <w:szCs w:val="20"/>
              </w:rPr>
            </w:pPr>
            <w:r w:rsidRPr="001D5AE2">
              <w:t>3,599</w:t>
            </w:r>
          </w:p>
        </w:tc>
        <w:tc>
          <w:tcPr>
            <w:tcW w:w="1170" w:type="dxa"/>
            <w:shd w:val="clear" w:color="auto" w:fill="auto"/>
            <w:noWrap/>
            <w:hideMark/>
          </w:tcPr>
          <w:p w14:paraId="3531499A" w14:textId="3DE1CC76" w:rsidR="00F439C3" w:rsidRPr="001D5AE2" w:rsidRDefault="00F439C3" w:rsidP="00F439C3">
            <w:pPr>
              <w:spacing w:after="0" w:line="240" w:lineRule="auto"/>
              <w:jc w:val="right"/>
              <w:rPr>
                <w:rFonts w:eastAsia="Times New Roman" w:cstheme="minorHAnsi"/>
                <w:color w:val="000000"/>
                <w:sz w:val="20"/>
                <w:szCs w:val="20"/>
              </w:rPr>
            </w:pPr>
            <w:r w:rsidRPr="001D5AE2">
              <w:t>8,000</w:t>
            </w:r>
          </w:p>
        </w:tc>
        <w:tc>
          <w:tcPr>
            <w:tcW w:w="1170" w:type="dxa"/>
            <w:shd w:val="clear" w:color="auto" w:fill="auto"/>
            <w:noWrap/>
          </w:tcPr>
          <w:p w14:paraId="3EE15D21" w14:textId="77E7CCDE" w:rsidR="00F439C3" w:rsidRPr="001D5AE2" w:rsidRDefault="00F439C3" w:rsidP="00F439C3">
            <w:pPr>
              <w:spacing w:after="0" w:line="240" w:lineRule="auto"/>
              <w:jc w:val="right"/>
              <w:rPr>
                <w:rFonts w:eastAsia="Times New Roman" w:cstheme="minorHAnsi"/>
                <w:color w:val="000000"/>
                <w:sz w:val="20"/>
                <w:szCs w:val="20"/>
              </w:rPr>
            </w:pPr>
            <w:r w:rsidRPr="001D5AE2">
              <w:t>0</w:t>
            </w:r>
          </w:p>
        </w:tc>
      </w:tr>
      <w:tr w:rsidR="00F439C3" w:rsidRPr="001D5AE2" w14:paraId="58C74A67" w14:textId="77777777" w:rsidTr="00540713">
        <w:trPr>
          <w:trHeight w:val="276"/>
        </w:trPr>
        <w:tc>
          <w:tcPr>
            <w:tcW w:w="2835" w:type="dxa"/>
            <w:shd w:val="clear" w:color="auto" w:fill="auto"/>
            <w:noWrap/>
            <w:vAlign w:val="bottom"/>
            <w:hideMark/>
          </w:tcPr>
          <w:p w14:paraId="3A0F874A" w14:textId="77777777" w:rsidR="00F439C3" w:rsidRPr="001D5AE2" w:rsidRDefault="00F439C3" w:rsidP="00F439C3">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Capital Expenditure</w:t>
            </w:r>
          </w:p>
        </w:tc>
        <w:tc>
          <w:tcPr>
            <w:tcW w:w="1115" w:type="dxa"/>
            <w:shd w:val="clear" w:color="auto" w:fill="auto"/>
            <w:noWrap/>
            <w:hideMark/>
          </w:tcPr>
          <w:p w14:paraId="00C5F6EE" w14:textId="52424D4A" w:rsidR="00F439C3" w:rsidRPr="001D5AE2" w:rsidRDefault="00F439C3" w:rsidP="00F439C3">
            <w:pPr>
              <w:spacing w:after="0" w:line="240" w:lineRule="auto"/>
              <w:jc w:val="right"/>
              <w:rPr>
                <w:rFonts w:eastAsia="Times New Roman" w:cstheme="minorHAnsi"/>
                <w:color w:val="000000"/>
                <w:sz w:val="20"/>
                <w:szCs w:val="20"/>
              </w:rPr>
            </w:pPr>
            <w:r w:rsidRPr="001D5AE2">
              <w:t>44,379</w:t>
            </w:r>
          </w:p>
        </w:tc>
        <w:tc>
          <w:tcPr>
            <w:tcW w:w="1109" w:type="dxa"/>
            <w:shd w:val="clear" w:color="auto" w:fill="auto"/>
            <w:noWrap/>
            <w:hideMark/>
          </w:tcPr>
          <w:p w14:paraId="459EC228" w14:textId="0002A61C" w:rsidR="00F439C3" w:rsidRPr="001D5AE2" w:rsidRDefault="00F439C3" w:rsidP="00F439C3">
            <w:pPr>
              <w:spacing w:after="0" w:line="240" w:lineRule="auto"/>
              <w:jc w:val="right"/>
              <w:rPr>
                <w:rFonts w:eastAsia="Times New Roman" w:cstheme="minorHAnsi"/>
                <w:color w:val="000000"/>
                <w:sz w:val="20"/>
                <w:szCs w:val="20"/>
              </w:rPr>
            </w:pPr>
            <w:r w:rsidRPr="001D5AE2">
              <w:t>26,344</w:t>
            </w:r>
          </w:p>
        </w:tc>
        <w:tc>
          <w:tcPr>
            <w:tcW w:w="1170" w:type="dxa"/>
            <w:shd w:val="clear" w:color="auto" w:fill="auto"/>
            <w:noWrap/>
            <w:hideMark/>
          </w:tcPr>
          <w:p w14:paraId="768B4D20" w14:textId="449585B5" w:rsidR="00F439C3" w:rsidRPr="001D5AE2" w:rsidRDefault="00F439C3" w:rsidP="00F439C3">
            <w:pPr>
              <w:spacing w:after="0" w:line="240" w:lineRule="auto"/>
              <w:jc w:val="right"/>
              <w:rPr>
                <w:rFonts w:eastAsia="Times New Roman" w:cstheme="minorHAnsi"/>
                <w:color w:val="000000"/>
                <w:sz w:val="20"/>
                <w:szCs w:val="20"/>
              </w:rPr>
            </w:pPr>
            <w:r w:rsidRPr="001D5AE2">
              <w:t>54,608</w:t>
            </w:r>
          </w:p>
        </w:tc>
        <w:tc>
          <w:tcPr>
            <w:tcW w:w="1170" w:type="dxa"/>
            <w:shd w:val="clear" w:color="auto" w:fill="auto"/>
            <w:noWrap/>
            <w:hideMark/>
          </w:tcPr>
          <w:p w14:paraId="591AACB3" w14:textId="612E5BB5" w:rsidR="00F439C3" w:rsidRPr="001D5AE2" w:rsidRDefault="00F439C3" w:rsidP="00F439C3">
            <w:pPr>
              <w:spacing w:after="0" w:line="240" w:lineRule="auto"/>
              <w:jc w:val="right"/>
              <w:rPr>
                <w:rFonts w:eastAsia="Times New Roman" w:cstheme="minorHAnsi"/>
                <w:color w:val="000000"/>
                <w:sz w:val="20"/>
                <w:szCs w:val="20"/>
              </w:rPr>
            </w:pPr>
            <w:r w:rsidRPr="001D5AE2">
              <w:t>49,704</w:t>
            </w:r>
          </w:p>
        </w:tc>
        <w:tc>
          <w:tcPr>
            <w:tcW w:w="1170" w:type="dxa"/>
            <w:shd w:val="clear" w:color="auto" w:fill="auto"/>
            <w:noWrap/>
          </w:tcPr>
          <w:p w14:paraId="6F603467" w14:textId="539DDC1B" w:rsidR="00F439C3" w:rsidRPr="001D5AE2" w:rsidRDefault="00F439C3" w:rsidP="00F439C3">
            <w:pPr>
              <w:spacing w:after="0" w:line="240" w:lineRule="auto"/>
              <w:jc w:val="right"/>
              <w:rPr>
                <w:rFonts w:eastAsia="Times New Roman" w:cstheme="minorHAnsi"/>
                <w:color w:val="000000"/>
                <w:sz w:val="20"/>
                <w:szCs w:val="20"/>
              </w:rPr>
            </w:pPr>
            <w:r w:rsidRPr="001D5AE2">
              <w:t>61,508</w:t>
            </w:r>
          </w:p>
        </w:tc>
      </w:tr>
    </w:tbl>
    <w:p w14:paraId="707E3C57" w14:textId="5760BB7C" w:rsidR="00856B93" w:rsidRPr="001D5AE2" w:rsidRDefault="00856B93" w:rsidP="00556242">
      <w:pPr>
        <w:spacing w:after="0" w:line="360" w:lineRule="auto"/>
        <w:jc w:val="both"/>
        <w:rPr>
          <w:rFonts w:ascii="Tahoma" w:hAnsi="Tahoma" w:cs="Tahoma"/>
          <w:bCs/>
          <w:iCs/>
        </w:rPr>
      </w:pPr>
    </w:p>
    <w:p w14:paraId="2A1B172E" w14:textId="59A3F421" w:rsidR="00B976BA" w:rsidRPr="001D5AE2" w:rsidRDefault="00E23838" w:rsidP="00BF581D">
      <w:pPr>
        <w:spacing w:after="0" w:line="360" w:lineRule="auto"/>
        <w:rPr>
          <w:rFonts w:ascii="Tahoma" w:hAnsi="Tahoma" w:cs="Tahoma"/>
          <w:iCs/>
        </w:rPr>
      </w:pPr>
      <w:r w:rsidRPr="001D5AE2">
        <w:rPr>
          <w:noProof/>
        </w:rPr>
        <w:lastRenderedPageBreak/>
        <w:drawing>
          <wp:inline distT="0" distB="0" distL="0" distR="0" wp14:anchorId="46673571" wp14:editId="78A9F2CF">
            <wp:extent cx="5486400" cy="3018155"/>
            <wp:effectExtent l="0" t="0" r="0" b="0"/>
            <wp:docPr id="1070677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4BF57A18" w14:textId="77777777" w:rsidR="005A1C6E" w:rsidRPr="001D5AE2" w:rsidRDefault="005A1C6E" w:rsidP="005A1C6E">
      <w:pPr>
        <w:spacing w:after="0" w:line="360" w:lineRule="auto"/>
        <w:rPr>
          <w:rFonts w:ascii="Tahoma" w:hAnsi="Tahoma" w:cs="Tahoma"/>
          <w:iCs/>
        </w:rPr>
      </w:pPr>
    </w:p>
    <w:p w14:paraId="15C88CEB" w14:textId="2C9B4567" w:rsidR="00856B93" w:rsidRPr="001D5AE2" w:rsidRDefault="00856B93" w:rsidP="00751D83">
      <w:pPr>
        <w:pStyle w:val="ListParagraph"/>
        <w:numPr>
          <w:ilvl w:val="1"/>
          <w:numId w:val="42"/>
        </w:numPr>
        <w:spacing w:after="0" w:line="360" w:lineRule="auto"/>
        <w:rPr>
          <w:rFonts w:ascii="Tahoma" w:hAnsi="Tahoma" w:cs="Tahoma"/>
          <w:iCs/>
          <w:sz w:val="22"/>
          <w:szCs w:val="22"/>
        </w:rPr>
      </w:pPr>
      <w:r w:rsidRPr="001D5AE2">
        <w:rPr>
          <w:rFonts w:ascii="Tahoma" w:hAnsi="Tahoma" w:cs="Tahoma"/>
          <w:b/>
          <w:iCs/>
          <w:sz w:val="22"/>
          <w:szCs w:val="22"/>
        </w:rPr>
        <w:t>Existing Public Debt Portfolio</w:t>
      </w:r>
    </w:p>
    <w:p w14:paraId="49D2D1DC" w14:textId="6C19067B" w:rsidR="00856B93" w:rsidRPr="001D5AE2" w:rsidRDefault="006E29D0" w:rsidP="006E29D0">
      <w:pPr>
        <w:spacing w:line="360" w:lineRule="auto"/>
        <w:jc w:val="both"/>
        <w:rPr>
          <w:rFonts w:ascii="Tahoma" w:hAnsi="Tahoma" w:cs="Tahoma"/>
          <w:bCs/>
          <w:iCs/>
        </w:rPr>
      </w:pPr>
      <w:r w:rsidRPr="001D5AE2">
        <w:rPr>
          <w:rFonts w:ascii="Tahoma" w:hAnsi="Tahoma" w:cs="Tahoma"/>
          <w:bCs/>
          <w:iCs/>
        </w:rPr>
        <w:t>3.</w:t>
      </w:r>
      <w:r w:rsidR="00751D83" w:rsidRPr="001D5AE2">
        <w:rPr>
          <w:rFonts w:ascii="Tahoma" w:hAnsi="Tahoma" w:cs="Tahoma"/>
          <w:bCs/>
          <w:iCs/>
        </w:rPr>
        <w:t>3</w:t>
      </w:r>
      <w:r w:rsidRPr="001D5AE2">
        <w:rPr>
          <w:rFonts w:ascii="Tahoma" w:hAnsi="Tahoma" w:cs="Tahoma"/>
          <w:bCs/>
          <w:iCs/>
        </w:rPr>
        <w:t>.1</w:t>
      </w:r>
      <w:r w:rsidRPr="001D5AE2">
        <w:rPr>
          <w:rFonts w:ascii="Tahoma" w:hAnsi="Tahoma" w:cs="Tahoma"/>
          <w:bCs/>
          <w:iCs/>
        </w:rPr>
        <w:tab/>
      </w:r>
      <w:r w:rsidR="00856B93" w:rsidRPr="001D5AE2">
        <w:rPr>
          <w:rFonts w:ascii="Tahoma" w:hAnsi="Tahoma" w:cs="Tahoma"/>
          <w:bCs/>
          <w:iCs/>
        </w:rPr>
        <w:t xml:space="preserve">Debt Stock - </w:t>
      </w:r>
      <w:r w:rsidR="00865C76" w:rsidRPr="001D5AE2">
        <w:rPr>
          <w:rFonts w:ascii="Tahoma" w:hAnsi="Tahoma" w:cs="Tahoma"/>
          <w:bCs/>
          <w:iCs/>
        </w:rPr>
        <w:t>Kebbi</w:t>
      </w:r>
      <w:r w:rsidR="00856B93" w:rsidRPr="001D5AE2">
        <w:rPr>
          <w:rFonts w:ascii="Tahoma" w:hAnsi="Tahoma" w:cs="Tahoma"/>
          <w:bCs/>
          <w:iCs/>
        </w:rPr>
        <w:t xml:space="preserve"> State Total </w:t>
      </w:r>
      <w:r w:rsidR="00E04CD5" w:rsidRPr="001D5AE2">
        <w:rPr>
          <w:rFonts w:ascii="Tahoma" w:hAnsi="Tahoma" w:cs="Tahoma"/>
          <w:bCs/>
          <w:iCs/>
        </w:rPr>
        <w:t xml:space="preserve">Debt </w:t>
      </w:r>
      <w:r w:rsidR="00856B93" w:rsidRPr="001D5AE2">
        <w:rPr>
          <w:rFonts w:ascii="Tahoma" w:hAnsi="Tahoma" w:cs="Tahoma"/>
          <w:bCs/>
          <w:iCs/>
        </w:rPr>
        <w:t>compris</w:t>
      </w:r>
      <w:r w:rsidR="00E04CD5" w:rsidRPr="001D5AE2">
        <w:rPr>
          <w:rFonts w:ascii="Tahoma" w:hAnsi="Tahoma" w:cs="Tahoma"/>
          <w:bCs/>
          <w:iCs/>
        </w:rPr>
        <w:t xml:space="preserve">ed </w:t>
      </w:r>
      <w:r w:rsidR="00856B93" w:rsidRPr="001D5AE2">
        <w:rPr>
          <w:rFonts w:ascii="Tahoma" w:hAnsi="Tahoma" w:cs="Tahoma"/>
          <w:bCs/>
          <w:iCs/>
        </w:rPr>
        <w:t xml:space="preserve">External and Domestic Debts </w:t>
      </w:r>
      <w:r w:rsidR="00212DE0" w:rsidRPr="001D5AE2">
        <w:rPr>
          <w:rFonts w:ascii="Tahoma" w:hAnsi="Tahoma" w:cs="Tahoma"/>
          <w:bCs/>
          <w:iCs/>
        </w:rPr>
        <w:t>which</w:t>
      </w:r>
      <w:r w:rsidR="00222FEA" w:rsidRPr="001D5AE2">
        <w:rPr>
          <w:rFonts w:ascii="Tahoma" w:hAnsi="Tahoma" w:cs="Tahoma"/>
          <w:bCs/>
          <w:iCs/>
        </w:rPr>
        <w:t xml:space="preserve"> </w:t>
      </w:r>
      <w:r w:rsidR="00E04CD5" w:rsidRPr="001D5AE2">
        <w:rPr>
          <w:rFonts w:ascii="Tahoma" w:hAnsi="Tahoma" w:cs="Tahoma"/>
          <w:bCs/>
          <w:iCs/>
        </w:rPr>
        <w:t>stood</w:t>
      </w:r>
      <w:r w:rsidR="00856B93" w:rsidRPr="001D5AE2">
        <w:rPr>
          <w:rFonts w:ascii="Tahoma" w:hAnsi="Tahoma" w:cs="Tahoma"/>
          <w:bCs/>
          <w:iCs/>
        </w:rPr>
        <w:t xml:space="preserve"> </w:t>
      </w:r>
      <w:r w:rsidR="0017255B" w:rsidRPr="001D5AE2">
        <w:rPr>
          <w:rFonts w:ascii="Tahoma" w:hAnsi="Tahoma" w:cs="Tahoma"/>
          <w:bCs/>
          <w:iCs/>
        </w:rPr>
        <w:t xml:space="preserve">at </w:t>
      </w:r>
      <w:r w:rsidR="00222FEA" w:rsidRPr="001D5AE2">
        <w:rPr>
          <w:rFonts w:ascii="Tahoma" w:hAnsi="Tahoma" w:cs="Tahoma"/>
          <w:bCs/>
          <w:iCs/>
        </w:rPr>
        <w:t>N</w:t>
      </w:r>
      <w:r w:rsidR="004A5513" w:rsidRPr="001D5AE2">
        <w:rPr>
          <w:rFonts w:ascii="Tahoma" w:hAnsi="Tahoma" w:cs="Tahoma"/>
          <w:bCs/>
          <w:iCs/>
        </w:rPr>
        <w:t xml:space="preserve">75,963 million in 2023 </w:t>
      </w:r>
      <w:r w:rsidR="0017255B" w:rsidRPr="001D5AE2">
        <w:rPr>
          <w:rFonts w:ascii="Tahoma" w:hAnsi="Tahoma" w:cs="Tahoma"/>
          <w:bCs/>
          <w:iCs/>
        </w:rPr>
        <w:t xml:space="preserve">compared </w:t>
      </w:r>
      <w:r w:rsidR="004A5513" w:rsidRPr="001D5AE2">
        <w:rPr>
          <w:rFonts w:ascii="Tahoma" w:hAnsi="Tahoma" w:cs="Tahoma"/>
          <w:bCs/>
          <w:iCs/>
        </w:rPr>
        <w:t xml:space="preserve">with </w:t>
      </w:r>
      <w:r w:rsidR="00856B93" w:rsidRPr="001D5AE2">
        <w:rPr>
          <w:rFonts w:ascii="Tahoma" w:hAnsi="Tahoma" w:cs="Tahoma"/>
          <w:bCs/>
          <w:iCs/>
        </w:rPr>
        <w:t>N</w:t>
      </w:r>
      <w:r w:rsidR="00F9679F" w:rsidRPr="001D5AE2">
        <w:rPr>
          <w:rFonts w:ascii="Tahoma" w:hAnsi="Tahoma" w:cs="Tahoma"/>
          <w:bCs/>
          <w:iCs/>
        </w:rPr>
        <w:t>7</w:t>
      </w:r>
      <w:r w:rsidR="00B22E08" w:rsidRPr="001D5AE2">
        <w:rPr>
          <w:rFonts w:ascii="Tahoma" w:hAnsi="Tahoma" w:cs="Tahoma"/>
          <w:bCs/>
          <w:iCs/>
        </w:rPr>
        <w:t>7,</w:t>
      </w:r>
      <w:r w:rsidR="00F9679F" w:rsidRPr="001D5AE2">
        <w:rPr>
          <w:rFonts w:ascii="Tahoma" w:hAnsi="Tahoma" w:cs="Tahoma"/>
          <w:bCs/>
          <w:iCs/>
        </w:rPr>
        <w:t xml:space="preserve">562 </w:t>
      </w:r>
      <w:r w:rsidR="00856B93" w:rsidRPr="001D5AE2">
        <w:rPr>
          <w:rFonts w:ascii="Tahoma" w:hAnsi="Tahoma" w:cs="Tahoma"/>
          <w:bCs/>
          <w:iCs/>
        </w:rPr>
        <w:t xml:space="preserve">million </w:t>
      </w:r>
      <w:r w:rsidR="00F9679F" w:rsidRPr="001D5AE2">
        <w:rPr>
          <w:rFonts w:ascii="Tahoma" w:hAnsi="Tahoma" w:cs="Tahoma"/>
          <w:bCs/>
          <w:iCs/>
        </w:rPr>
        <w:t>in 2022</w:t>
      </w:r>
      <w:r w:rsidR="00140A7A" w:rsidRPr="001D5AE2">
        <w:rPr>
          <w:rFonts w:ascii="Tahoma" w:hAnsi="Tahoma" w:cs="Tahoma"/>
          <w:bCs/>
          <w:iCs/>
        </w:rPr>
        <w:t xml:space="preserve">, </w:t>
      </w:r>
      <w:r w:rsidR="000F2385" w:rsidRPr="001D5AE2">
        <w:rPr>
          <w:rFonts w:ascii="Tahoma" w:hAnsi="Tahoma" w:cs="Tahoma"/>
          <w:bCs/>
          <w:iCs/>
        </w:rPr>
        <w:t xml:space="preserve">which comprises a decline </w:t>
      </w:r>
      <w:r w:rsidR="00F13CE3" w:rsidRPr="001D5AE2">
        <w:rPr>
          <w:rFonts w:ascii="Tahoma" w:hAnsi="Tahoma" w:cs="Tahoma"/>
          <w:bCs/>
          <w:iCs/>
        </w:rPr>
        <w:t xml:space="preserve">by </w:t>
      </w:r>
      <w:r w:rsidR="00FD7E32" w:rsidRPr="001D5AE2">
        <w:rPr>
          <w:rFonts w:ascii="Tahoma" w:hAnsi="Tahoma" w:cs="Tahoma"/>
          <w:bCs/>
          <w:iCs/>
        </w:rPr>
        <w:t xml:space="preserve">1,599 million </w:t>
      </w:r>
      <w:r w:rsidR="00F13CE3" w:rsidRPr="001D5AE2">
        <w:rPr>
          <w:rFonts w:ascii="Tahoma" w:hAnsi="Tahoma" w:cs="Tahoma"/>
          <w:bCs/>
          <w:iCs/>
        </w:rPr>
        <w:t xml:space="preserve">or </w:t>
      </w:r>
      <w:r w:rsidR="00F4457D" w:rsidRPr="001D5AE2">
        <w:rPr>
          <w:rFonts w:ascii="Tahoma" w:hAnsi="Tahoma" w:cs="Tahoma"/>
          <w:bCs/>
          <w:iCs/>
        </w:rPr>
        <w:t xml:space="preserve">2.06 </w:t>
      </w:r>
      <w:r w:rsidR="00F13CE3" w:rsidRPr="001D5AE2">
        <w:rPr>
          <w:rFonts w:ascii="Tahoma" w:hAnsi="Tahoma" w:cs="Tahoma"/>
          <w:bCs/>
          <w:iCs/>
        </w:rPr>
        <w:t>percent over the period</w:t>
      </w:r>
      <w:r w:rsidR="00292C88" w:rsidRPr="001D5AE2">
        <w:rPr>
          <w:rFonts w:ascii="Tahoma" w:hAnsi="Tahoma" w:cs="Tahoma"/>
          <w:bCs/>
          <w:iCs/>
        </w:rPr>
        <w:t xml:space="preserve">. </w:t>
      </w:r>
      <w:r w:rsidR="00CA29BE" w:rsidRPr="001D5AE2">
        <w:rPr>
          <w:rFonts w:ascii="Tahoma" w:hAnsi="Tahoma" w:cs="Tahoma"/>
          <w:bCs/>
          <w:iCs/>
        </w:rPr>
        <w:t>External</w:t>
      </w:r>
      <w:r w:rsidR="00292C88" w:rsidRPr="001D5AE2">
        <w:rPr>
          <w:rFonts w:ascii="Tahoma" w:hAnsi="Tahoma" w:cs="Tahoma"/>
          <w:bCs/>
          <w:iCs/>
        </w:rPr>
        <w:t xml:space="preserve"> Debt grew by N</w:t>
      </w:r>
      <w:r w:rsidR="00F4457D" w:rsidRPr="001D5AE2">
        <w:rPr>
          <w:rFonts w:ascii="Tahoma" w:hAnsi="Tahoma" w:cs="Tahoma"/>
          <w:bCs/>
          <w:iCs/>
        </w:rPr>
        <w:t xml:space="preserve">1,928 </w:t>
      </w:r>
      <w:r w:rsidR="00856B93" w:rsidRPr="001D5AE2">
        <w:rPr>
          <w:rFonts w:ascii="Tahoma" w:hAnsi="Tahoma" w:cs="Tahoma"/>
          <w:bCs/>
          <w:iCs/>
        </w:rPr>
        <w:t>million</w:t>
      </w:r>
      <w:r w:rsidR="00A74E3E" w:rsidRPr="001D5AE2">
        <w:rPr>
          <w:rFonts w:ascii="Tahoma" w:hAnsi="Tahoma" w:cs="Tahoma"/>
          <w:bCs/>
          <w:iCs/>
        </w:rPr>
        <w:t xml:space="preserve"> or 14.45 percent</w:t>
      </w:r>
      <w:r w:rsidR="00856B93" w:rsidRPr="001D5AE2">
        <w:rPr>
          <w:rFonts w:ascii="Tahoma" w:hAnsi="Tahoma" w:cs="Tahoma"/>
          <w:bCs/>
          <w:iCs/>
        </w:rPr>
        <w:t xml:space="preserve"> </w:t>
      </w:r>
      <w:r w:rsidR="006D2BD4" w:rsidRPr="001D5AE2">
        <w:rPr>
          <w:rFonts w:ascii="Tahoma" w:hAnsi="Tahoma" w:cs="Tahoma"/>
          <w:bCs/>
          <w:iCs/>
        </w:rPr>
        <w:t>from 202</w:t>
      </w:r>
      <w:r w:rsidR="0099013E" w:rsidRPr="001D5AE2">
        <w:rPr>
          <w:rFonts w:ascii="Tahoma" w:hAnsi="Tahoma" w:cs="Tahoma"/>
          <w:bCs/>
          <w:iCs/>
        </w:rPr>
        <w:t>2</w:t>
      </w:r>
      <w:r w:rsidR="00A74E3E" w:rsidRPr="001D5AE2">
        <w:rPr>
          <w:rFonts w:ascii="Tahoma" w:hAnsi="Tahoma" w:cs="Tahoma"/>
          <w:bCs/>
          <w:iCs/>
        </w:rPr>
        <w:t xml:space="preserve"> to 2023</w:t>
      </w:r>
      <w:r w:rsidR="00856B93" w:rsidRPr="001D5AE2">
        <w:rPr>
          <w:rFonts w:ascii="Tahoma" w:hAnsi="Tahoma" w:cs="Tahoma"/>
          <w:bCs/>
          <w:iCs/>
        </w:rPr>
        <w:t xml:space="preserve">, while the Domestic Debt stock </w:t>
      </w:r>
      <w:r w:rsidR="00283C44" w:rsidRPr="001D5AE2">
        <w:rPr>
          <w:rFonts w:ascii="Tahoma" w:hAnsi="Tahoma" w:cs="Tahoma"/>
          <w:bCs/>
          <w:iCs/>
        </w:rPr>
        <w:t xml:space="preserve">decreased by 3,528 million or </w:t>
      </w:r>
      <w:r w:rsidR="00B164FE" w:rsidRPr="001D5AE2">
        <w:rPr>
          <w:rFonts w:ascii="Tahoma" w:hAnsi="Tahoma" w:cs="Tahoma"/>
          <w:bCs/>
          <w:iCs/>
        </w:rPr>
        <w:t>5.49 percent from 2022 to 2023 respectively</w:t>
      </w:r>
      <w:r w:rsidR="00856B93" w:rsidRPr="001D5AE2">
        <w:rPr>
          <w:rFonts w:ascii="Tahoma" w:hAnsi="Tahoma" w:cs="Tahoma"/>
          <w:bCs/>
          <w:iCs/>
        </w:rPr>
        <w:t>.</w:t>
      </w:r>
    </w:p>
    <w:p w14:paraId="4A35A0EF" w14:textId="55DB0A26" w:rsidR="00212DE0" w:rsidRPr="001D5AE2" w:rsidRDefault="00212DE0" w:rsidP="00212DE0">
      <w:pPr>
        <w:spacing w:after="0" w:line="360" w:lineRule="auto"/>
        <w:jc w:val="both"/>
        <w:rPr>
          <w:rFonts w:ascii="Tahoma" w:hAnsi="Tahoma" w:cs="Tahoma"/>
          <w:b/>
          <w:iCs/>
        </w:rPr>
      </w:pPr>
      <w:r w:rsidRPr="001D5AE2">
        <w:rPr>
          <w:rFonts w:ascii="Tahoma" w:hAnsi="Tahoma" w:cs="Tahoma"/>
          <w:b/>
          <w:iCs/>
        </w:rPr>
        <w:t xml:space="preserve">Total </w:t>
      </w:r>
      <w:r w:rsidR="00540713" w:rsidRPr="001D5AE2">
        <w:rPr>
          <w:rFonts w:ascii="Tahoma" w:hAnsi="Tahoma" w:cs="Tahoma"/>
          <w:b/>
          <w:iCs/>
        </w:rPr>
        <w:t>Debt Stock</w:t>
      </w:r>
      <w:r w:rsidRPr="001D5AE2">
        <w:rPr>
          <w:rFonts w:ascii="Tahoma" w:hAnsi="Tahoma" w:cs="Tahoma"/>
          <w:b/>
          <w:iCs/>
        </w:rPr>
        <w:t>, 2019-2023 (NGN’ Million)</w:t>
      </w:r>
    </w:p>
    <w:tbl>
      <w:tblPr>
        <w:tblW w:w="870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7"/>
        <w:gridCol w:w="1189"/>
        <w:gridCol w:w="1134"/>
        <w:gridCol w:w="1134"/>
        <w:gridCol w:w="1134"/>
        <w:gridCol w:w="1134"/>
      </w:tblGrid>
      <w:tr w:rsidR="006172DE" w:rsidRPr="001D5AE2" w14:paraId="3B17BFE7" w14:textId="77777777" w:rsidTr="00540713">
        <w:trPr>
          <w:trHeight w:val="276"/>
        </w:trPr>
        <w:tc>
          <w:tcPr>
            <w:tcW w:w="2977" w:type="dxa"/>
            <w:shd w:val="clear" w:color="auto" w:fill="92D050"/>
            <w:noWrap/>
            <w:vAlign w:val="center"/>
            <w:hideMark/>
          </w:tcPr>
          <w:p w14:paraId="37C9D17E" w14:textId="25A53ECC" w:rsidR="006172DE" w:rsidRPr="001D5AE2" w:rsidRDefault="00540713" w:rsidP="006172DE">
            <w:pPr>
              <w:spacing w:after="0" w:line="240" w:lineRule="auto"/>
              <w:rPr>
                <w:rFonts w:eastAsia="Times New Roman" w:cstheme="minorHAnsi"/>
                <w:b/>
                <w:bCs/>
                <w:sz w:val="20"/>
                <w:szCs w:val="20"/>
              </w:rPr>
            </w:pPr>
            <w:r w:rsidRPr="001D5AE2">
              <w:rPr>
                <w:rFonts w:eastAsia="Times New Roman" w:cstheme="minorHAnsi"/>
                <w:b/>
                <w:bCs/>
                <w:sz w:val="20"/>
                <w:szCs w:val="20"/>
              </w:rPr>
              <w:t>Total Debt Stock</w:t>
            </w:r>
          </w:p>
        </w:tc>
        <w:tc>
          <w:tcPr>
            <w:tcW w:w="1189" w:type="dxa"/>
            <w:shd w:val="clear" w:color="auto" w:fill="92D050"/>
            <w:noWrap/>
            <w:hideMark/>
          </w:tcPr>
          <w:p w14:paraId="5476B02E" w14:textId="1E1B421A" w:rsidR="006172DE" w:rsidRPr="001D5AE2" w:rsidRDefault="006172DE" w:rsidP="006172DE">
            <w:pPr>
              <w:spacing w:after="0" w:line="240" w:lineRule="auto"/>
              <w:jc w:val="right"/>
              <w:rPr>
                <w:rFonts w:eastAsia="Times New Roman" w:cstheme="minorHAnsi"/>
                <w:b/>
                <w:bCs/>
                <w:color w:val="000000"/>
                <w:sz w:val="20"/>
                <w:szCs w:val="20"/>
              </w:rPr>
            </w:pPr>
            <w:r w:rsidRPr="001D5AE2">
              <w:rPr>
                <w:b/>
                <w:bCs/>
              </w:rPr>
              <w:t>2019</w:t>
            </w:r>
          </w:p>
        </w:tc>
        <w:tc>
          <w:tcPr>
            <w:tcW w:w="1134" w:type="dxa"/>
            <w:shd w:val="clear" w:color="auto" w:fill="92D050"/>
            <w:noWrap/>
            <w:hideMark/>
          </w:tcPr>
          <w:p w14:paraId="6851B3A5" w14:textId="69F361DE" w:rsidR="006172DE" w:rsidRPr="001D5AE2" w:rsidRDefault="006172DE" w:rsidP="006172DE">
            <w:pPr>
              <w:spacing w:after="0" w:line="240" w:lineRule="auto"/>
              <w:jc w:val="right"/>
              <w:rPr>
                <w:rFonts w:eastAsia="Times New Roman" w:cstheme="minorHAnsi"/>
                <w:b/>
                <w:bCs/>
                <w:color w:val="000000"/>
                <w:sz w:val="20"/>
                <w:szCs w:val="20"/>
              </w:rPr>
            </w:pPr>
            <w:r w:rsidRPr="001D5AE2">
              <w:rPr>
                <w:b/>
                <w:bCs/>
              </w:rPr>
              <w:t>2020</w:t>
            </w:r>
          </w:p>
        </w:tc>
        <w:tc>
          <w:tcPr>
            <w:tcW w:w="1134" w:type="dxa"/>
            <w:shd w:val="clear" w:color="auto" w:fill="92D050"/>
            <w:noWrap/>
            <w:hideMark/>
          </w:tcPr>
          <w:p w14:paraId="2165A01A" w14:textId="138C7F1E" w:rsidR="006172DE" w:rsidRPr="001D5AE2" w:rsidRDefault="006172DE" w:rsidP="006172DE">
            <w:pPr>
              <w:spacing w:after="0" w:line="240" w:lineRule="auto"/>
              <w:jc w:val="right"/>
              <w:rPr>
                <w:rFonts w:eastAsia="Times New Roman" w:cstheme="minorHAnsi"/>
                <w:b/>
                <w:bCs/>
                <w:color w:val="000000"/>
                <w:sz w:val="20"/>
                <w:szCs w:val="20"/>
              </w:rPr>
            </w:pPr>
            <w:r w:rsidRPr="001D5AE2">
              <w:rPr>
                <w:b/>
                <w:bCs/>
              </w:rPr>
              <w:t>2021</w:t>
            </w:r>
          </w:p>
        </w:tc>
        <w:tc>
          <w:tcPr>
            <w:tcW w:w="1134" w:type="dxa"/>
            <w:shd w:val="clear" w:color="auto" w:fill="92D050"/>
            <w:noWrap/>
            <w:hideMark/>
          </w:tcPr>
          <w:p w14:paraId="52BBD325" w14:textId="516BDA76" w:rsidR="006172DE" w:rsidRPr="001D5AE2" w:rsidRDefault="006172DE" w:rsidP="006172DE">
            <w:pPr>
              <w:spacing w:after="0" w:line="240" w:lineRule="auto"/>
              <w:jc w:val="right"/>
              <w:rPr>
                <w:rFonts w:eastAsia="Times New Roman" w:cstheme="minorHAnsi"/>
                <w:b/>
                <w:bCs/>
                <w:color w:val="000000"/>
                <w:sz w:val="20"/>
                <w:szCs w:val="20"/>
              </w:rPr>
            </w:pPr>
            <w:r w:rsidRPr="001D5AE2">
              <w:rPr>
                <w:b/>
                <w:bCs/>
              </w:rPr>
              <w:t>2022</w:t>
            </w:r>
          </w:p>
        </w:tc>
        <w:tc>
          <w:tcPr>
            <w:tcW w:w="1134" w:type="dxa"/>
            <w:shd w:val="clear" w:color="auto" w:fill="92D050"/>
            <w:noWrap/>
            <w:hideMark/>
          </w:tcPr>
          <w:p w14:paraId="0AA01A25" w14:textId="3176FEC5" w:rsidR="006172DE" w:rsidRPr="001D5AE2" w:rsidRDefault="006172DE" w:rsidP="006172DE">
            <w:pPr>
              <w:spacing w:after="0" w:line="240" w:lineRule="auto"/>
              <w:jc w:val="right"/>
              <w:rPr>
                <w:rFonts w:eastAsia="Times New Roman" w:cstheme="minorHAnsi"/>
                <w:b/>
                <w:bCs/>
                <w:color w:val="000000"/>
                <w:sz w:val="20"/>
                <w:szCs w:val="20"/>
              </w:rPr>
            </w:pPr>
            <w:r w:rsidRPr="001D5AE2">
              <w:rPr>
                <w:b/>
                <w:bCs/>
              </w:rPr>
              <w:t>2023</w:t>
            </w:r>
          </w:p>
        </w:tc>
      </w:tr>
      <w:tr w:rsidR="006172DE" w:rsidRPr="001D5AE2" w14:paraId="3F394E61" w14:textId="77777777" w:rsidTr="00540713">
        <w:trPr>
          <w:trHeight w:val="276"/>
        </w:trPr>
        <w:tc>
          <w:tcPr>
            <w:tcW w:w="2977" w:type="dxa"/>
            <w:shd w:val="clear" w:color="auto" w:fill="auto"/>
            <w:noWrap/>
            <w:vAlign w:val="center"/>
            <w:hideMark/>
          </w:tcPr>
          <w:p w14:paraId="1929DF2E" w14:textId="77777777" w:rsidR="006172DE" w:rsidRPr="001D5AE2" w:rsidRDefault="006172DE" w:rsidP="006172DE">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Outstanding Debt (Old + New)</w:t>
            </w:r>
          </w:p>
        </w:tc>
        <w:tc>
          <w:tcPr>
            <w:tcW w:w="1189" w:type="dxa"/>
            <w:shd w:val="clear" w:color="auto" w:fill="auto"/>
            <w:noWrap/>
            <w:hideMark/>
          </w:tcPr>
          <w:p w14:paraId="7663AE84" w14:textId="7640906F" w:rsidR="006172DE" w:rsidRPr="001D5AE2" w:rsidRDefault="006172DE" w:rsidP="006172DE">
            <w:pPr>
              <w:spacing w:after="0" w:line="240" w:lineRule="auto"/>
              <w:jc w:val="right"/>
              <w:rPr>
                <w:rFonts w:eastAsia="Times New Roman" w:cstheme="minorHAnsi"/>
                <w:color w:val="000000"/>
                <w:sz w:val="20"/>
                <w:szCs w:val="20"/>
              </w:rPr>
            </w:pPr>
            <w:r w:rsidRPr="001D5AE2">
              <w:t>80,414</w:t>
            </w:r>
          </w:p>
        </w:tc>
        <w:tc>
          <w:tcPr>
            <w:tcW w:w="1134" w:type="dxa"/>
            <w:shd w:val="clear" w:color="auto" w:fill="auto"/>
            <w:noWrap/>
            <w:hideMark/>
          </w:tcPr>
          <w:p w14:paraId="692AF0BE" w14:textId="4A152347" w:rsidR="006172DE" w:rsidRPr="001D5AE2" w:rsidRDefault="006172DE" w:rsidP="006172DE">
            <w:pPr>
              <w:spacing w:after="0" w:line="240" w:lineRule="auto"/>
              <w:jc w:val="right"/>
              <w:rPr>
                <w:rFonts w:eastAsia="Times New Roman" w:cstheme="minorHAnsi"/>
                <w:color w:val="000000"/>
                <w:sz w:val="20"/>
                <w:szCs w:val="20"/>
              </w:rPr>
            </w:pPr>
            <w:r w:rsidRPr="001D5AE2">
              <w:t>70,146</w:t>
            </w:r>
          </w:p>
        </w:tc>
        <w:tc>
          <w:tcPr>
            <w:tcW w:w="1134" w:type="dxa"/>
            <w:shd w:val="clear" w:color="auto" w:fill="auto"/>
            <w:noWrap/>
            <w:hideMark/>
          </w:tcPr>
          <w:p w14:paraId="2F628D5B" w14:textId="52601460" w:rsidR="006172DE" w:rsidRPr="001D5AE2" w:rsidRDefault="006172DE" w:rsidP="006172DE">
            <w:pPr>
              <w:spacing w:after="0" w:line="240" w:lineRule="auto"/>
              <w:jc w:val="right"/>
              <w:rPr>
                <w:rFonts w:eastAsia="Times New Roman" w:cstheme="minorHAnsi"/>
                <w:color w:val="000000"/>
                <w:sz w:val="20"/>
                <w:szCs w:val="20"/>
              </w:rPr>
            </w:pPr>
            <w:r w:rsidRPr="001D5AE2">
              <w:t>66,275</w:t>
            </w:r>
          </w:p>
        </w:tc>
        <w:tc>
          <w:tcPr>
            <w:tcW w:w="1134" w:type="dxa"/>
            <w:shd w:val="clear" w:color="auto" w:fill="auto"/>
            <w:noWrap/>
            <w:hideMark/>
          </w:tcPr>
          <w:p w14:paraId="72D597D9" w14:textId="086D8F8B" w:rsidR="006172DE" w:rsidRPr="001D5AE2" w:rsidRDefault="006172DE" w:rsidP="006172DE">
            <w:pPr>
              <w:spacing w:after="0" w:line="240" w:lineRule="auto"/>
              <w:jc w:val="right"/>
              <w:rPr>
                <w:rFonts w:eastAsia="Times New Roman" w:cstheme="minorHAnsi"/>
                <w:color w:val="000000"/>
                <w:sz w:val="20"/>
                <w:szCs w:val="20"/>
              </w:rPr>
            </w:pPr>
            <w:r w:rsidRPr="001D5AE2">
              <w:t>77,562</w:t>
            </w:r>
          </w:p>
        </w:tc>
        <w:tc>
          <w:tcPr>
            <w:tcW w:w="1134" w:type="dxa"/>
            <w:shd w:val="clear" w:color="auto" w:fill="auto"/>
            <w:noWrap/>
            <w:hideMark/>
          </w:tcPr>
          <w:p w14:paraId="072F5E17" w14:textId="21251E17" w:rsidR="006172DE" w:rsidRPr="001D5AE2" w:rsidRDefault="006172DE" w:rsidP="006172DE">
            <w:pPr>
              <w:spacing w:after="0" w:line="240" w:lineRule="auto"/>
              <w:jc w:val="right"/>
              <w:rPr>
                <w:rFonts w:eastAsia="Times New Roman" w:cstheme="minorHAnsi"/>
                <w:color w:val="000000"/>
                <w:sz w:val="20"/>
                <w:szCs w:val="20"/>
              </w:rPr>
            </w:pPr>
            <w:r w:rsidRPr="001D5AE2">
              <w:t>75,963</w:t>
            </w:r>
          </w:p>
        </w:tc>
      </w:tr>
      <w:tr w:rsidR="006172DE" w:rsidRPr="001D5AE2" w14:paraId="379F1844" w14:textId="77777777" w:rsidTr="00540713">
        <w:trPr>
          <w:trHeight w:val="276"/>
        </w:trPr>
        <w:tc>
          <w:tcPr>
            <w:tcW w:w="2977" w:type="dxa"/>
            <w:shd w:val="clear" w:color="auto" w:fill="auto"/>
            <w:noWrap/>
            <w:vAlign w:val="center"/>
            <w:hideMark/>
          </w:tcPr>
          <w:p w14:paraId="1480B7A8" w14:textId="77777777" w:rsidR="006172DE" w:rsidRPr="001D5AE2" w:rsidRDefault="006172DE" w:rsidP="006172DE">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External</w:t>
            </w:r>
          </w:p>
        </w:tc>
        <w:tc>
          <w:tcPr>
            <w:tcW w:w="1189" w:type="dxa"/>
            <w:shd w:val="clear" w:color="auto" w:fill="auto"/>
            <w:noWrap/>
            <w:hideMark/>
          </w:tcPr>
          <w:p w14:paraId="29126865" w14:textId="2653EAB9" w:rsidR="006172DE" w:rsidRPr="001D5AE2" w:rsidRDefault="006172DE" w:rsidP="006172DE">
            <w:pPr>
              <w:spacing w:after="0" w:line="240" w:lineRule="auto"/>
              <w:jc w:val="right"/>
              <w:rPr>
                <w:rFonts w:eastAsia="Times New Roman" w:cstheme="minorHAnsi"/>
                <w:color w:val="000000"/>
                <w:sz w:val="20"/>
                <w:szCs w:val="20"/>
              </w:rPr>
            </w:pPr>
            <w:r w:rsidRPr="001D5AE2">
              <w:t>11,148</w:t>
            </w:r>
          </w:p>
        </w:tc>
        <w:tc>
          <w:tcPr>
            <w:tcW w:w="1134" w:type="dxa"/>
            <w:shd w:val="clear" w:color="auto" w:fill="auto"/>
            <w:noWrap/>
            <w:hideMark/>
          </w:tcPr>
          <w:p w14:paraId="423BC5A8" w14:textId="1DECD9EF" w:rsidR="006172DE" w:rsidRPr="001D5AE2" w:rsidRDefault="006172DE" w:rsidP="006172DE">
            <w:pPr>
              <w:spacing w:after="0" w:line="240" w:lineRule="auto"/>
              <w:jc w:val="right"/>
              <w:rPr>
                <w:rFonts w:eastAsia="Times New Roman" w:cstheme="minorHAnsi"/>
                <w:color w:val="000000"/>
                <w:sz w:val="20"/>
                <w:szCs w:val="20"/>
              </w:rPr>
            </w:pPr>
            <w:r w:rsidRPr="001D5AE2">
              <w:t>13,335</w:t>
            </w:r>
          </w:p>
        </w:tc>
        <w:tc>
          <w:tcPr>
            <w:tcW w:w="1134" w:type="dxa"/>
            <w:shd w:val="clear" w:color="auto" w:fill="auto"/>
            <w:noWrap/>
            <w:hideMark/>
          </w:tcPr>
          <w:p w14:paraId="0A1A8524" w14:textId="736A1A66" w:rsidR="006172DE" w:rsidRPr="001D5AE2" w:rsidRDefault="006172DE" w:rsidP="006172DE">
            <w:pPr>
              <w:spacing w:after="0" w:line="240" w:lineRule="auto"/>
              <w:jc w:val="right"/>
              <w:rPr>
                <w:rFonts w:eastAsia="Times New Roman" w:cstheme="minorHAnsi"/>
                <w:color w:val="000000"/>
                <w:sz w:val="20"/>
                <w:szCs w:val="20"/>
              </w:rPr>
            </w:pPr>
            <w:r w:rsidRPr="001D5AE2">
              <w:t>13,946</w:t>
            </w:r>
          </w:p>
        </w:tc>
        <w:tc>
          <w:tcPr>
            <w:tcW w:w="1134" w:type="dxa"/>
            <w:shd w:val="clear" w:color="auto" w:fill="auto"/>
            <w:noWrap/>
            <w:hideMark/>
          </w:tcPr>
          <w:p w14:paraId="36727804" w14:textId="7DE5050D" w:rsidR="006172DE" w:rsidRPr="001D5AE2" w:rsidRDefault="006172DE" w:rsidP="006172DE">
            <w:pPr>
              <w:spacing w:after="0" w:line="240" w:lineRule="auto"/>
              <w:jc w:val="right"/>
              <w:rPr>
                <w:rFonts w:eastAsia="Times New Roman" w:cstheme="minorHAnsi"/>
                <w:color w:val="000000"/>
                <w:sz w:val="20"/>
                <w:szCs w:val="20"/>
              </w:rPr>
            </w:pPr>
            <w:r w:rsidRPr="001D5AE2">
              <w:t>13,344</w:t>
            </w:r>
          </w:p>
        </w:tc>
        <w:tc>
          <w:tcPr>
            <w:tcW w:w="1134" w:type="dxa"/>
            <w:shd w:val="clear" w:color="auto" w:fill="auto"/>
            <w:noWrap/>
            <w:hideMark/>
          </w:tcPr>
          <w:p w14:paraId="6073054C" w14:textId="50318B16" w:rsidR="006172DE" w:rsidRPr="001D5AE2" w:rsidRDefault="006172DE" w:rsidP="006172DE">
            <w:pPr>
              <w:spacing w:after="0" w:line="240" w:lineRule="auto"/>
              <w:jc w:val="right"/>
              <w:rPr>
                <w:rFonts w:eastAsia="Times New Roman" w:cstheme="minorHAnsi"/>
                <w:color w:val="000000"/>
                <w:sz w:val="20"/>
                <w:szCs w:val="20"/>
              </w:rPr>
            </w:pPr>
            <w:r w:rsidRPr="001D5AE2">
              <w:t>15,272</w:t>
            </w:r>
          </w:p>
        </w:tc>
      </w:tr>
      <w:tr w:rsidR="006172DE" w:rsidRPr="001D5AE2" w14:paraId="0CF756C5" w14:textId="77777777" w:rsidTr="00540713">
        <w:trPr>
          <w:trHeight w:val="276"/>
        </w:trPr>
        <w:tc>
          <w:tcPr>
            <w:tcW w:w="2977" w:type="dxa"/>
            <w:shd w:val="clear" w:color="auto" w:fill="auto"/>
            <w:noWrap/>
            <w:vAlign w:val="center"/>
            <w:hideMark/>
          </w:tcPr>
          <w:p w14:paraId="6D72B281" w14:textId="77777777" w:rsidR="006172DE" w:rsidRPr="001D5AE2" w:rsidRDefault="006172DE" w:rsidP="006172DE">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Domestic</w:t>
            </w:r>
          </w:p>
        </w:tc>
        <w:tc>
          <w:tcPr>
            <w:tcW w:w="1189" w:type="dxa"/>
            <w:shd w:val="clear" w:color="auto" w:fill="auto"/>
            <w:noWrap/>
            <w:hideMark/>
          </w:tcPr>
          <w:p w14:paraId="6436FBD7" w14:textId="187449DE" w:rsidR="006172DE" w:rsidRPr="001D5AE2" w:rsidRDefault="006172DE" w:rsidP="006172DE">
            <w:pPr>
              <w:spacing w:after="0" w:line="240" w:lineRule="auto"/>
              <w:jc w:val="right"/>
              <w:rPr>
                <w:rFonts w:eastAsia="Times New Roman" w:cstheme="minorHAnsi"/>
                <w:color w:val="000000"/>
                <w:sz w:val="20"/>
                <w:szCs w:val="20"/>
              </w:rPr>
            </w:pPr>
            <w:r w:rsidRPr="001D5AE2">
              <w:t>69,265</w:t>
            </w:r>
          </w:p>
        </w:tc>
        <w:tc>
          <w:tcPr>
            <w:tcW w:w="1134" w:type="dxa"/>
            <w:shd w:val="clear" w:color="auto" w:fill="auto"/>
            <w:noWrap/>
            <w:hideMark/>
          </w:tcPr>
          <w:p w14:paraId="2C686669" w14:textId="544DC933" w:rsidR="006172DE" w:rsidRPr="001D5AE2" w:rsidRDefault="006172DE" w:rsidP="006172DE">
            <w:pPr>
              <w:spacing w:after="0" w:line="240" w:lineRule="auto"/>
              <w:jc w:val="right"/>
              <w:rPr>
                <w:rFonts w:eastAsia="Times New Roman" w:cstheme="minorHAnsi"/>
                <w:color w:val="000000"/>
                <w:sz w:val="20"/>
                <w:szCs w:val="20"/>
              </w:rPr>
            </w:pPr>
            <w:r w:rsidRPr="001D5AE2">
              <w:t>56,811</w:t>
            </w:r>
          </w:p>
        </w:tc>
        <w:tc>
          <w:tcPr>
            <w:tcW w:w="1134" w:type="dxa"/>
            <w:shd w:val="clear" w:color="auto" w:fill="auto"/>
            <w:noWrap/>
            <w:hideMark/>
          </w:tcPr>
          <w:p w14:paraId="3C2D94EC" w14:textId="10AD2ADA" w:rsidR="006172DE" w:rsidRPr="001D5AE2" w:rsidRDefault="006172DE" w:rsidP="006172DE">
            <w:pPr>
              <w:spacing w:after="0" w:line="240" w:lineRule="auto"/>
              <w:jc w:val="right"/>
              <w:rPr>
                <w:rFonts w:eastAsia="Times New Roman" w:cstheme="minorHAnsi"/>
                <w:color w:val="000000"/>
                <w:sz w:val="20"/>
                <w:szCs w:val="20"/>
              </w:rPr>
            </w:pPr>
            <w:r w:rsidRPr="001D5AE2">
              <w:t>52,328</w:t>
            </w:r>
          </w:p>
        </w:tc>
        <w:tc>
          <w:tcPr>
            <w:tcW w:w="1134" w:type="dxa"/>
            <w:shd w:val="clear" w:color="auto" w:fill="auto"/>
            <w:noWrap/>
            <w:hideMark/>
          </w:tcPr>
          <w:p w14:paraId="3BB70637" w14:textId="7C6E1993" w:rsidR="006172DE" w:rsidRPr="001D5AE2" w:rsidRDefault="006172DE" w:rsidP="006172DE">
            <w:pPr>
              <w:spacing w:after="0" w:line="240" w:lineRule="auto"/>
              <w:jc w:val="right"/>
              <w:rPr>
                <w:rFonts w:eastAsia="Times New Roman" w:cstheme="minorHAnsi"/>
                <w:color w:val="000000"/>
                <w:sz w:val="20"/>
                <w:szCs w:val="20"/>
              </w:rPr>
            </w:pPr>
            <w:r w:rsidRPr="001D5AE2">
              <w:t>64,219</w:t>
            </w:r>
          </w:p>
        </w:tc>
        <w:tc>
          <w:tcPr>
            <w:tcW w:w="1134" w:type="dxa"/>
            <w:shd w:val="clear" w:color="auto" w:fill="auto"/>
            <w:noWrap/>
            <w:hideMark/>
          </w:tcPr>
          <w:p w14:paraId="777635B5" w14:textId="4CC84CE1" w:rsidR="006172DE" w:rsidRPr="001D5AE2" w:rsidRDefault="006172DE" w:rsidP="006172DE">
            <w:pPr>
              <w:spacing w:after="0" w:line="240" w:lineRule="auto"/>
              <w:jc w:val="right"/>
              <w:rPr>
                <w:rFonts w:eastAsia="Times New Roman" w:cstheme="minorHAnsi"/>
                <w:color w:val="000000"/>
                <w:sz w:val="20"/>
                <w:szCs w:val="20"/>
              </w:rPr>
            </w:pPr>
            <w:r w:rsidRPr="001D5AE2">
              <w:t>60,691</w:t>
            </w:r>
          </w:p>
        </w:tc>
      </w:tr>
    </w:tbl>
    <w:p w14:paraId="07C87A58" w14:textId="3E8B8FD2" w:rsidR="00856B93" w:rsidRPr="001D5AE2" w:rsidRDefault="00856B93" w:rsidP="00856B93">
      <w:pPr>
        <w:pStyle w:val="ListParagraph"/>
        <w:spacing w:line="360" w:lineRule="auto"/>
        <w:jc w:val="both"/>
        <w:rPr>
          <w:rFonts w:ascii="Tahoma" w:hAnsi="Tahoma" w:cs="Tahoma"/>
          <w:bCs/>
          <w:iCs/>
        </w:rPr>
      </w:pPr>
    </w:p>
    <w:p w14:paraId="0B193D30" w14:textId="4F22BDF4" w:rsidR="00B664DB" w:rsidRPr="001D5AE2" w:rsidRDefault="00FD0D7D" w:rsidP="008B30E5">
      <w:pPr>
        <w:spacing w:line="360" w:lineRule="auto"/>
        <w:jc w:val="both"/>
        <w:rPr>
          <w:rFonts w:ascii="Tahoma" w:hAnsi="Tahoma" w:cs="Tahoma"/>
          <w:bCs/>
          <w:iCs/>
        </w:rPr>
      </w:pPr>
      <w:r w:rsidRPr="001D5AE2">
        <w:rPr>
          <w:noProof/>
        </w:rPr>
        <w:lastRenderedPageBreak/>
        <w:drawing>
          <wp:inline distT="0" distB="0" distL="0" distR="0" wp14:anchorId="3CA13A9E" wp14:editId="53CB9DD4">
            <wp:extent cx="5486400" cy="3018155"/>
            <wp:effectExtent l="0" t="0" r="0" b="0"/>
            <wp:docPr id="9099030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3BE051CD" w14:textId="77777777" w:rsidR="00556242" w:rsidRPr="001D5AE2" w:rsidRDefault="00556242" w:rsidP="00856B93">
      <w:pPr>
        <w:pStyle w:val="ListParagraph"/>
        <w:spacing w:line="360" w:lineRule="auto"/>
        <w:jc w:val="both"/>
        <w:rPr>
          <w:rFonts w:ascii="Tahoma" w:hAnsi="Tahoma" w:cs="Tahoma"/>
          <w:bCs/>
          <w:iCs/>
        </w:rPr>
      </w:pPr>
    </w:p>
    <w:p w14:paraId="4D46EFBC" w14:textId="26EB7DAE" w:rsidR="00856B93" w:rsidRPr="001D5AE2" w:rsidRDefault="006E29D0" w:rsidP="006E29D0">
      <w:pPr>
        <w:spacing w:line="360" w:lineRule="auto"/>
        <w:jc w:val="both"/>
        <w:rPr>
          <w:rFonts w:ascii="Tahoma" w:hAnsi="Tahoma" w:cs="Tahoma"/>
          <w:bCs/>
        </w:rPr>
      </w:pPr>
      <w:r w:rsidRPr="001D5AE2">
        <w:rPr>
          <w:rFonts w:ascii="Tahoma" w:hAnsi="Tahoma" w:cs="Tahoma"/>
          <w:b/>
        </w:rPr>
        <w:t>3.2.2</w:t>
      </w:r>
      <w:r w:rsidRPr="001D5AE2">
        <w:rPr>
          <w:rFonts w:ascii="Tahoma" w:hAnsi="Tahoma" w:cs="Tahoma"/>
          <w:b/>
        </w:rPr>
        <w:tab/>
      </w:r>
      <w:r w:rsidR="00856B93" w:rsidRPr="001D5AE2">
        <w:rPr>
          <w:rFonts w:ascii="Tahoma" w:hAnsi="Tahoma" w:cs="Tahoma"/>
          <w:b/>
        </w:rPr>
        <w:t>Debt composition</w:t>
      </w:r>
      <w:r w:rsidR="00856B93" w:rsidRPr="001D5AE2">
        <w:rPr>
          <w:rFonts w:ascii="Tahoma" w:hAnsi="Tahoma" w:cs="Tahoma"/>
          <w:bCs/>
        </w:rPr>
        <w:t xml:space="preserve"> - The main domestic debt port</w:t>
      </w:r>
      <w:r w:rsidRPr="001D5AE2">
        <w:rPr>
          <w:rFonts w:ascii="Tahoma" w:hAnsi="Tahoma" w:cs="Tahoma"/>
          <w:bCs/>
        </w:rPr>
        <w:t>folio consists of Bud</w:t>
      </w:r>
      <w:r w:rsidR="00856B93" w:rsidRPr="001D5AE2">
        <w:rPr>
          <w:rFonts w:ascii="Tahoma" w:hAnsi="Tahoma" w:cs="Tahoma"/>
          <w:bCs/>
        </w:rPr>
        <w:t xml:space="preserve">get Support Facility, </w:t>
      </w:r>
      <w:r w:rsidRPr="001D5AE2">
        <w:rPr>
          <w:rFonts w:ascii="Tahoma" w:hAnsi="Tahoma" w:cs="Tahoma"/>
          <w:bCs/>
        </w:rPr>
        <w:t xml:space="preserve">Salary Bail-out facility, </w:t>
      </w:r>
      <w:r w:rsidR="00856B93" w:rsidRPr="001D5AE2">
        <w:rPr>
          <w:rFonts w:ascii="Tahoma" w:hAnsi="Tahoma" w:cs="Tahoma"/>
          <w:bCs/>
        </w:rPr>
        <w:t>Excess Crude Account Backed Loan, Contractor’s Arrears and Pensions &amp; Gratuity arrears. While the External Debt includes World Bank (IDA and IFAD) and African Development Fund (</w:t>
      </w:r>
      <w:proofErr w:type="spellStart"/>
      <w:r w:rsidR="00856B93" w:rsidRPr="001D5AE2">
        <w:rPr>
          <w:rFonts w:ascii="Tahoma" w:hAnsi="Tahoma" w:cs="Tahoma"/>
          <w:bCs/>
        </w:rPr>
        <w:t>AfDF</w:t>
      </w:r>
      <w:proofErr w:type="spellEnd"/>
      <w:r w:rsidR="00856B93" w:rsidRPr="001D5AE2">
        <w:rPr>
          <w:rFonts w:ascii="Tahoma" w:hAnsi="Tahoma" w:cs="Tahoma"/>
          <w:bCs/>
        </w:rPr>
        <w:t>). In 20</w:t>
      </w:r>
      <w:r w:rsidR="00987463" w:rsidRPr="001D5AE2">
        <w:rPr>
          <w:rFonts w:ascii="Tahoma" w:hAnsi="Tahoma" w:cs="Tahoma"/>
          <w:bCs/>
        </w:rPr>
        <w:t>20</w:t>
      </w:r>
      <w:r w:rsidR="00856B93" w:rsidRPr="001D5AE2">
        <w:rPr>
          <w:rFonts w:ascii="Tahoma" w:hAnsi="Tahoma" w:cs="Tahoma"/>
          <w:bCs/>
        </w:rPr>
        <w:t xml:space="preserve"> the composition of external debt to domestic debt portfolio </w:t>
      </w:r>
      <w:r w:rsidR="00B20858" w:rsidRPr="001D5AE2">
        <w:rPr>
          <w:rFonts w:ascii="Tahoma" w:hAnsi="Tahoma" w:cs="Tahoma"/>
          <w:bCs/>
        </w:rPr>
        <w:t xml:space="preserve">in 2023 </w:t>
      </w:r>
      <w:r w:rsidR="00856B93" w:rsidRPr="001D5AE2">
        <w:rPr>
          <w:rFonts w:ascii="Tahoma" w:hAnsi="Tahoma" w:cs="Tahoma"/>
          <w:bCs/>
        </w:rPr>
        <w:t xml:space="preserve">stood at </w:t>
      </w:r>
      <w:r w:rsidR="002C1800" w:rsidRPr="001D5AE2">
        <w:rPr>
          <w:rFonts w:ascii="Tahoma" w:hAnsi="Tahoma" w:cs="Tahoma"/>
          <w:bCs/>
        </w:rPr>
        <w:t xml:space="preserve">20.10 </w:t>
      </w:r>
      <w:r w:rsidR="00721774" w:rsidRPr="001D5AE2">
        <w:rPr>
          <w:rFonts w:ascii="Tahoma" w:hAnsi="Tahoma" w:cs="Tahoma"/>
          <w:bCs/>
        </w:rPr>
        <w:t>percent to 7</w:t>
      </w:r>
      <w:r w:rsidR="002C1800" w:rsidRPr="001D5AE2">
        <w:rPr>
          <w:rFonts w:ascii="Tahoma" w:hAnsi="Tahoma" w:cs="Tahoma"/>
          <w:bCs/>
        </w:rPr>
        <w:t>9.90</w:t>
      </w:r>
      <w:r w:rsidR="00856B93" w:rsidRPr="001D5AE2">
        <w:rPr>
          <w:rFonts w:ascii="Tahoma" w:hAnsi="Tahoma" w:cs="Tahoma"/>
          <w:bCs/>
        </w:rPr>
        <w:t xml:space="preserve">, compared to </w:t>
      </w:r>
      <w:r w:rsidR="00E84D22" w:rsidRPr="001D5AE2">
        <w:rPr>
          <w:rFonts w:ascii="Tahoma" w:hAnsi="Tahoma" w:cs="Tahoma"/>
          <w:bCs/>
        </w:rPr>
        <w:t xml:space="preserve">2019 that stood at </w:t>
      </w:r>
      <w:r w:rsidR="007B0A23" w:rsidRPr="001D5AE2">
        <w:rPr>
          <w:rFonts w:ascii="Tahoma" w:hAnsi="Tahoma" w:cs="Tahoma"/>
          <w:bCs/>
        </w:rPr>
        <w:t>13.86 percent to 86.14 respectively</w:t>
      </w:r>
      <w:r w:rsidR="00856B93" w:rsidRPr="001D5AE2">
        <w:rPr>
          <w:rFonts w:ascii="Tahoma" w:hAnsi="Tahoma" w:cs="Tahoma"/>
          <w:bCs/>
        </w:rPr>
        <w:t>.</w:t>
      </w:r>
    </w:p>
    <w:p w14:paraId="6F6BBE12" w14:textId="774BF990" w:rsidR="00856B93" w:rsidRPr="001D5AE2" w:rsidRDefault="006E29D0" w:rsidP="006E29D0">
      <w:pPr>
        <w:spacing w:line="360" w:lineRule="auto"/>
        <w:jc w:val="both"/>
        <w:rPr>
          <w:rFonts w:ascii="Tahoma" w:hAnsi="Tahoma" w:cs="Tahoma"/>
          <w:bCs/>
        </w:rPr>
      </w:pPr>
      <w:r w:rsidRPr="001D5AE2">
        <w:rPr>
          <w:rFonts w:ascii="Tahoma" w:hAnsi="Tahoma" w:cs="Tahoma"/>
          <w:b/>
        </w:rPr>
        <w:t>3.2.3</w:t>
      </w:r>
      <w:r w:rsidRPr="001D5AE2">
        <w:rPr>
          <w:rFonts w:ascii="Tahoma" w:hAnsi="Tahoma" w:cs="Tahoma"/>
          <w:b/>
        </w:rPr>
        <w:tab/>
      </w:r>
      <w:r w:rsidR="00856B93" w:rsidRPr="001D5AE2">
        <w:rPr>
          <w:rFonts w:ascii="Tahoma" w:hAnsi="Tahoma" w:cs="Tahoma"/>
          <w:b/>
        </w:rPr>
        <w:t>Debt Service</w:t>
      </w:r>
      <w:r w:rsidR="00856B93" w:rsidRPr="001D5AE2">
        <w:rPr>
          <w:rFonts w:ascii="Tahoma" w:hAnsi="Tahoma" w:cs="Tahoma"/>
          <w:bCs/>
        </w:rPr>
        <w:t xml:space="preserve"> amounted to </w:t>
      </w:r>
      <w:r w:rsidR="001D2A8A" w:rsidRPr="001D5AE2">
        <w:rPr>
          <w:rFonts w:ascii="Tahoma" w:hAnsi="Tahoma" w:cs="Tahoma"/>
          <w:bCs/>
        </w:rPr>
        <w:t>N</w:t>
      </w:r>
      <w:r w:rsidR="008F6D14" w:rsidRPr="001D5AE2">
        <w:rPr>
          <w:rFonts w:ascii="Tahoma" w:hAnsi="Tahoma" w:cs="Tahoma"/>
          <w:bCs/>
        </w:rPr>
        <w:t>12,</w:t>
      </w:r>
      <w:r w:rsidR="006D54B1" w:rsidRPr="001D5AE2">
        <w:rPr>
          <w:rFonts w:ascii="Tahoma" w:hAnsi="Tahoma" w:cs="Tahoma"/>
          <w:bCs/>
        </w:rPr>
        <w:t xml:space="preserve">446 </w:t>
      </w:r>
      <w:r w:rsidR="008F6D14" w:rsidRPr="001D5AE2">
        <w:rPr>
          <w:rFonts w:ascii="Tahoma" w:hAnsi="Tahoma" w:cs="Tahoma"/>
          <w:bCs/>
        </w:rPr>
        <w:t>million in 20</w:t>
      </w:r>
      <w:r w:rsidR="006D54B1" w:rsidRPr="001D5AE2">
        <w:rPr>
          <w:rFonts w:ascii="Tahoma" w:hAnsi="Tahoma" w:cs="Tahoma"/>
          <w:bCs/>
        </w:rPr>
        <w:t>19</w:t>
      </w:r>
      <w:r w:rsidR="008F6D14" w:rsidRPr="001D5AE2">
        <w:rPr>
          <w:rFonts w:ascii="Tahoma" w:hAnsi="Tahoma" w:cs="Tahoma"/>
          <w:bCs/>
        </w:rPr>
        <w:t xml:space="preserve">, </w:t>
      </w:r>
      <w:r w:rsidR="003F2DFB" w:rsidRPr="001D5AE2">
        <w:rPr>
          <w:rFonts w:ascii="Tahoma" w:hAnsi="Tahoma" w:cs="Tahoma"/>
          <w:bCs/>
        </w:rPr>
        <w:t>N</w:t>
      </w:r>
      <w:r w:rsidR="00CD123D" w:rsidRPr="001D5AE2">
        <w:rPr>
          <w:rFonts w:ascii="Tahoma" w:hAnsi="Tahoma" w:cs="Tahoma"/>
          <w:bCs/>
        </w:rPr>
        <w:t xml:space="preserve">16,474 million in 2020, N7,003 million in 2021, </w:t>
      </w:r>
      <w:r w:rsidR="00782143" w:rsidRPr="001D5AE2">
        <w:rPr>
          <w:rFonts w:ascii="Tahoma" w:hAnsi="Tahoma" w:cs="Tahoma"/>
          <w:bCs/>
        </w:rPr>
        <w:t>N12,376 million</w:t>
      </w:r>
      <w:r w:rsidR="00A26535" w:rsidRPr="001D5AE2">
        <w:rPr>
          <w:rFonts w:ascii="Tahoma" w:hAnsi="Tahoma" w:cs="Tahoma"/>
          <w:bCs/>
        </w:rPr>
        <w:t xml:space="preserve"> in 2022</w:t>
      </w:r>
      <w:r w:rsidR="00782143" w:rsidRPr="001D5AE2">
        <w:rPr>
          <w:rFonts w:ascii="Tahoma" w:hAnsi="Tahoma" w:cs="Tahoma"/>
          <w:bCs/>
        </w:rPr>
        <w:t xml:space="preserve"> and N3,630 </w:t>
      </w:r>
      <w:r w:rsidR="00A26535" w:rsidRPr="001D5AE2">
        <w:rPr>
          <w:rFonts w:ascii="Tahoma" w:hAnsi="Tahoma" w:cs="Tahoma"/>
          <w:bCs/>
        </w:rPr>
        <w:t>million in 2023</w:t>
      </w:r>
      <w:r w:rsidR="00147CB3" w:rsidRPr="001D5AE2">
        <w:rPr>
          <w:rFonts w:ascii="Tahoma" w:hAnsi="Tahoma" w:cs="Tahoma"/>
          <w:bCs/>
        </w:rPr>
        <w:t>,</w:t>
      </w:r>
      <w:r w:rsidR="000A1481" w:rsidRPr="001D5AE2">
        <w:rPr>
          <w:rFonts w:ascii="Tahoma" w:hAnsi="Tahoma" w:cs="Tahoma"/>
          <w:bCs/>
        </w:rPr>
        <w:t xml:space="preserve"> respectively</w:t>
      </w:r>
      <w:r w:rsidR="00856B93" w:rsidRPr="001D5AE2">
        <w:rPr>
          <w:rFonts w:ascii="Tahoma" w:hAnsi="Tahoma" w:cs="Tahoma"/>
          <w:bCs/>
        </w:rPr>
        <w:t xml:space="preserve">. </w:t>
      </w:r>
      <w:r w:rsidR="00147CB3" w:rsidRPr="001D5AE2">
        <w:rPr>
          <w:rFonts w:ascii="Tahoma" w:hAnsi="Tahoma" w:cs="Tahoma"/>
          <w:bCs/>
        </w:rPr>
        <w:t xml:space="preserve">Kebbi State’s Principal Repayment </w:t>
      </w:r>
      <w:r w:rsidR="000A1481" w:rsidRPr="001D5AE2">
        <w:rPr>
          <w:rFonts w:ascii="Tahoma" w:hAnsi="Tahoma" w:cs="Tahoma"/>
          <w:bCs/>
        </w:rPr>
        <w:t xml:space="preserve">stood at </w:t>
      </w:r>
      <w:r w:rsidR="00B52B29" w:rsidRPr="001D5AE2">
        <w:rPr>
          <w:rFonts w:ascii="Tahoma" w:hAnsi="Tahoma" w:cs="Tahoma"/>
          <w:bCs/>
        </w:rPr>
        <w:t>N10,</w:t>
      </w:r>
      <w:r w:rsidR="00A26535" w:rsidRPr="001D5AE2">
        <w:rPr>
          <w:rFonts w:ascii="Tahoma" w:hAnsi="Tahoma" w:cs="Tahoma"/>
          <w:bCs/>
        </w:rPr>
        <w:t xml:space="preserve">146 </w:t>
      </w:r>
      <w:r w:rsidR="00B52B29" w:rsidRPr="001D5AE2">
        <w:rPr>
          <w:rFonts w:ascii="Tahoma" w:hAnsi="Tahoma" w:cs="Tahoma"/>
          <w:bCs/>
        </w:rPr>
        <w:t>million in 2019</w:t>
      </w:r>
      <w:r w:rsidR="00147CB3" w:rsidRPr="001D5AE2">
        <w:rPr>
          <w:rFonts w:ascii="Tahoma" w:hAnsi="Tahoma" w:cs="Tahoma"/>
          <w:bCs/>
        </w:rPr>
        <w:t xml:space="preserve">, </w:t>
      </w:r>
      <w:r w:rsidR="00B52B29" w:rsidRPr="001D5AE2">
        <w:rPr>
          <w:rFonts w:ascii="Tahoma" w:hAnsi="Tahoma" w:cs="Tahoma"/>
          <w:bCs/>
        </w:rPr>
        <w:t>N15,</w:t>
      </w:r>
      <w:r w:rsidR="002F66CF" w:rsidRPr="001D5AE2">
        <w:rPr>
          <w:rFonts w:ascii="Tahoma" w:hAnsi="Tahoma" w:cs="Tahoma"/>
          <w:bCs/>
        </w:rPr>
        <w:t>46</w:t>
      </w:r>
      <w:r w:rsidR="00C67C01" w:rsidRPr="001D5AE2">
        <w:rPr>
          <w:rFonts w:ascii="Tahoma" w:hAnsi="Tahoma" w:cs="Tahoma"/>
          <w:bCs/>
        </w:rPr>
        <w:t>0</w:t>
      </w:r>
      <w:r w:rsidR="002F66CF" w:rsidRPr="001D5AE2">
        <w:rPr>
          <w:rFonts w:ascii="Tahoma" w:hAnsi="Tahoma" w:cs="Tahoma"/>
          <w:bCs/>
        </w:rPr>
        <w:t xml:space="preserve"> </w:t>
      </w:r>
      <w:r w:rsidR="00B52B29" w:rsidRPr="001D5AE2">
        <w:rPr>
          <w:rFonts w:ascii="Tahoma" w:hAnsi="Tahoma" w:cs="Tahoma"/>
          <w:bCs/>
        </w:rPr>
        <w:t>million in 2020</w:t>
      </w:r>
      <w:r w:rsidR="002F66CF" w:rsidRPr="001D5AE2">
        <w:rPr>
          <w:rFonts w:ascii="Tahoma" w:hAnsi="Tahoma" w:cs="Tahoma"/>
          <w:bCs/>
        </w:rPr>
        <w:t xml:space="preserve">, </w:t>
      </w:r>
      <w:r w:rsidR="00147CB3" w:rsidRPr="001D5AE2">
        <w:rPr>
          <w:rFonts w:ascii="Tahoma" w:hAnsi="Tahoma" w:cs="Tahoma"/>
          <w:bCs/>
        </w:rPr>
        <w:t>N5,</w:t>
      </w:r>
      <w:r w:rsidR="002F66CF" w:rsidRPr="001D5AE2">
        <w:rPr>
          <w:rFonts w:ascii="Tahoma" w:hAnsi="Tahoma" w:cs="Tahoma"/>
          <w:bCs/>
        </w:rPr>
        <w:t>3</w:t>
      </w:r>
      <w:r w:rsidR="00C67C01" w:rsidRPr="001D5AE2">
        <w:rPr>
          <w:rFonts w:ascii="Tahoma" w:hAnsi="Tahoma" w:cs="Tahoma"/>
          <w:bCs/>
        </w:rPr>
        <w:t>44</w:t>
      </w:r>
      <w:r w:rsidR="002F66CF" w:rsidRPr="001D5AE2">
        <w:rPr>
          <w:rFonts w:ascii="Tahoma" w:hAnsi="Tahoma" w:cs="Tahoma"/>
          <w:bCs/>
        </w:rPr>
        <w:t xml:space="preserve"> </w:t>
      </w:r>
      <w:r w:rsidR="00147CB3" w:rsidRPr="001D5AE2">
        <w:rPr>
          <w:rFonts w:ascii="Tahoma" w:hAnsi="Tahoma" w:cs="Tahoma"/>
          <w:bCs/>
        </w:rPr>
        <w:t>million in 2021</w:t>
      </w:r>
      <w:r w:rsidR="002F66CF" w:rsidRPr="001D5AE2">
        <w:rPr>
          <w:rFonts w:ascii="Tahoma" w:hAnsi="Tahoma" w:cs="Tahoma"/>
          <w:bCs/>
        </w:rPr>
        <w:t>, and N</w:t>
      </w:r>
      <w:r w:rsidR="007D4BBA" w:rsidRPr="001D5AE2">
        <w:rPr>
          <w:rFonts w:ascii="Tahoma" w:hAnsi="Tahoma" w:cs="Tahoma"/>
          <w:bCs/>
        </w:rPr>
        <w:t xml:space="preserve">9,218 </w:t>
      </w:r>
      <w:r w:rsidR="00812450" w:rsidRPr="001D5AE2">
        <w:rPr>
          <w:rFonts w:ascii="Tahoma" w:hAnsi="Tahoma" w:cs="Tahoma"/>
          <w:bCs/>
        </w:rPr>
        <w:t>million in 2022</w:t>
      </w:r>
      <w:r w:rsidR="007D4BBA" w:rsidRPr="001D5AE2">
        <w:rPr>
          <w:rFonts w:ascii="Tahoma" w:hAnsi="Tahoma" w:cs="Tahoma"/>
          <w:bCs/>
        </w:rPr>
        <w:t xml:space="preserve"> and N1,528 million in 2023</w:t>
      </w:r>
      <w:r w:rsidR="00812450" w:rsidRPr="001D5AE2">
        <w:rPr>
          <w:rFonts w:ascii="Tahoma" w:hAnsi="Tahoma" w:cs="Tahoma"/>
          <w:bCs/>
        </w:rPr>
        <w:t>, respectively</w:t>
      </w:r>
      <w:r w:rsidR="00856B93" w:rsidRPr="001D5AE2">
        <w:rPr>
          <w:rFonts w:ascii="Tahoma" w:hAnsi="Tahoma" w:cs="Tahoma"/>
          <w:bCs/>
        </w:rPr>
        <w:t xml:space="preserve">. </w:t>
      </w:r>
    </w:p>
    <w:p w14:paraId="71998A63" w14:textId="0F3AA716" w:rsidR="00540713" w:rsidRPr="001D5AE2" w:rsidRDefault="00540713" w:rsidP="00540713">
      <w:pPr>
        <w:spacing w:after="0" w:line="360" w:lineRule="auto"/>
        <w:jc w:val="both"/>
        <w:rPr>
          <w:rFonts w:ascii="Tahoma" w:hAnsi="Tahoma" w:cs="Tahoma"/>
          <w:b/>
          <w:iCs/>
        </w:rPr>
      </w:pPr>
      <w:r w:rsidRPr="001D5AE2">
        <w:rPr>
          <w:rFonts w:ascii="Tahoma" w:hAnsi="Tahoma" w:cs="Tahoma"/>
          <w:b/>
          <w:iCs/>
        </w:rPr>
        <w:t>Total Principal Repayment, 2019-2023 (NGN’ Million)</w:t>
      </w:r>
    </w:p>
    <w:tbl>
      <w:tblPr>
        <w:tblW w:w="867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4"/>
        <w:gridCol w:w="1026"/>
        <w:gridCol w:w="1026"/>
        <w:gridCol w:w="1026"/>
        <w:gridCol w:w="1026"/>
        <w:gridCol w:w="1026"/>
      </w:tblGrid>
      <w:tr w:rsidR="00FD0D7D" w:rsidRPr="001D5AE2" w14:paraId="1477C0A0" w14:textId="77777777" w:rsidTr="00540713">
        <w:trPr>
          <w:trHeight w:val="276"/>
        </w:trPr>
        <w:tc>
          <w:tcPr>
            <w:tcW w:w="3544" w:type="dxa"/>
            <w:shd w:val="clear" w:color="auto" w:fill="92D050"/>
            <w:noWrap/>
            <w:vAlign w:val="bottom"/>
            <w:hideMark/>
          </w:tcPr>
          <w:p w14:paraId="13679F1E" w14:textId="77777777" w:rsidR="00FD0D7D" w:rsidRPr="001D5AE2" w:rsidRDefault="00FD0D7D" w:rsidP="00FD0D7D">
            <w:pPr>
              <w:spacing w:after="0" w:line="240" w:lineRule="auto"/>
              <w:rPr>
                <w:rFonts w:eastAsia="Times New Roman" w:cstheme="minorHAnsi"/>
                <w:b/>
                <w:bCs/>
                <w:sz w:val="20"/>
                <w:szCs w:val="20"/>
              </w:rPr>
            </w:pPr>
            <w:r w:rsidRPr="001D5AE2">
              <w:rPr>
                <w:rFonts w:eastAsia="Times New Roman" w:cstheme="minorHAnsi"/>
                <w:b/>
                <w:bCs/>
                <w:sz w:val="20"/>
                <w:szCs w:val="20"/>
              </w:rPr>
              <w:t>Principal Repayment</w:t>
            </w:r>
          </w:p>
        </w:tc>
        <w:tc>
          <w:tcPr>
            <w:tcW w:w="1026" w:type="dxa"/>
            <w:shd w:val="clear" w:color="auto" w:fill="92D050"/>
            <w:noWrap/>
            <w:hideMark/>
          </w:tcPr>
          <w:p w14:paraId="09500F01" w14:textId="323D123D" w:rsidR="00FD0D7D" w:rsidRPr="001D5AE2" w:rsidRDefault="00FD0D7D" w:rsidP="00FD0D7D">
            <w:pPr>
              <w:spacing w:after="0" w:line="240" w:lineRule="auto"/>
              <w:jc w:val="right"/>
              <w:rPr>
                <w:rFonts w:eastAsia="Times New Roman" w:cstheme="minorHAnsi"/>
                <w:b/>
                <w:bCs/>
                <w:color w:val="000000"/>
                <w:sz w:val="20"/>
                <w:szCs w:val="20"/>
              </w:rPr>
            </w:pPr>
            <w:r w:rsidRPr="001D5AE2">
              <w:t>2019</w:t>
            </w:r>
          </w:p>
        </w:tc>
        <w:tc>
          <w:tcPr>
            <w:tcW w:w="1026" w:type="dxa"/>
            <w:shd w:val="clear" w:color="auto" w:fill="92D050"/>
            <w:noWrap/>
            <w:hideMark/>
          </w:tcPr>
          <w:p w14:paraId="5F5C4951" w14:textId="2A464D55" w:rsidR="00FD0D7D" w:rsidRPr="001D5AE2" w:rsidRDefault="00FD0D7D" w:rsidP="00FD0D7D">
            <w:pPr>
              <w:spacing w:after="0" w:line="240" w:lineRule="auto"/>
              <w:jc w:val="right"/>
              <w:rPr>
                <w:rFonts w:eastAsia="Times New Roman" w:cstheme="minorHAnsi"/>
                <w:b/>
                <w:bCs/>
                <w:color w:val="000000"/>
                <w:sz w:val="20"/>
                <w:szCs w:val="20"/>
              </w:rPr>
            </w:pPr>
            <w:r w:rsidRPr="001D5AE2">
              <w:t>2020</w:t>
            </w:r>
          </w:p>
        </w:tc>
        <w:tc>
          <w:tcPr>
            <w:tcW w:w="1026" w:type="dxa"/>
            <w:shd w:val="clear" w:color="auto" w:fill="92D050"/>
            <w:noWrap/>
            <w:hideMark/>
          </w:tcPr>
          <w:p w14:paraId="72758BDA" w14:textId="46DB0485" w:rsidR="00FD0D7D" w:rsidRPr="001D5AE2" w:rsidRDefault="00FD0D7D" w:rsidP="00FD0D7D">
            <w:pPr>
              <w:spacing w:after="0" w:line="240" w:lineRule="auto"/>
              <w:jc w:val="right"/>
              <w:rPr>
                <w:rFonts w:eastAsia="Times New Roman" w:cstheme="minorHAnsi"/>
                <w:b/>
                <w:bCs/>
                <w:color w:val="000000"/>
                <w:sz w:val="20"/>
                <w:szCs w:val="20"/>
              </w:rPr>
            </w:pPr>
            <w:r w:rsidRPr="001D5AE2">
              <w:t>2021</w:t>
            </w:r>
          </w:p>
        </w:tc>
        <w:tc>
          <w:tcPr>
            <w:tcW w:w="1026" w:type="dxa"/>
            <w:shd w:val="clear" w:color="auto" w:fill="92D050"/>
            <w:noWrap/>
            <w:hideMark/>
          </w:tcPr>
          <w:p w14:paraId="22832BD3" w14:textId="25B7C3A2" w:rsidR="00FD0D7D" w:rsidRPr="001D5AE2" w:rsidRDefault="00FD0D7D" w:rsidP="00FD0D7D">
            <w:pPr>
              <w:spacing w:after="0" w:line="240" w:lineRule="auto"/>
              <w:jc w:val="right"/>
              <w:rPr>
                <w:rFonts w:eastAsia="Times New Roman" w:cstheme="minorHAnsi"/>
                <w:b/>
                <w:bCs/>
                <w:color w:val="000000"/>
                <w:sz w:val="20"/>
                <w:szCs w:val="20"/>
              </w:rPr>
            </w:pPr>
            <w:r w:rsidRPr="001D5AE2">
              <w:t>2022</w:t>
            </w:r>
          </w:p>
        </w:tc>
        <w:tc>
          <w:tcPr>
            <w:tcW w:w="1026" w:type="dxa"/>
            <w:shd w:val="clear" w:color="auto" w:fill="92D050"/>
            <w:noWrap/>
            <w:hideMark/>
          </w:tcPr>
          <w:p w14:paraId="1D34FA6C" w14:textId="3D362EE8" w:rsidR="00FD0D7D" w:rsidRPr="001D5AE2" w:rsidRDefault="00FD0D7D" w:rsidP="00FD0D7D">
            <w:pPr>
              <w:spacing w:after="0" w:line="240" w:lineRule="auto"/>
              <w:jc w:val="right"/>
              <w:rPr>
                <w:rFonts w:eastAsia="Times New Roman" w:cstheme="minorHAnsi"/>
                <w:b/>
                <w:bCs/>
                <w:color w:val="000000"/>
                <w:sz w:val="20"/>
                <w:szCs w:val="20"/>
              </w:rPr>
            </w:pPr>
            <w:r w:rsidRPr="001D5AE2">
              <w:t>2023</w:t>
            </w:r>
          </w:p>
        </w:tc>
      </w:tr>
      <w:tr w:rsidR="00FD0D7D" w:rsidRPr="001D5AE2" w14:paraId="1842911D" w14:textId="77777777" w:rsidTr="00540713">
        <w:trPr>
          <w:trHeight w:val="276"/>
        </w:trPr>
        <w:tc>
          <w:tcPr>
            <w:tcW w:w="3544" w:type="dxa"/>
            <w:shd w:val="clear" w:color="auto" w:fill="auto"/>
            <w:noWrap/>
            <w:vAlign w:val="bottom"/>
            <w:hideMark/>
          </w:tcPr>
          <w:p w14:paraId="5125873A" w14:textId="77777777" w:rsidR="00FD0D7D" w:rsidRPr="001D5AE2" w:rsidRDefault="00FD0D7D" w:rsidP="00FD0D7D">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Principal Repayment</w:t>
            </w:r>
          </w:p>
        </w:tc>
        <w:tc>
          <w:tcPr>
            <w:tcW w:w="1026" w:type="dxa"/>
            <w:shd w:val="clear" w:color="auto" w:fill="auto"/>
            <w:noWrap/>
            <w:hideMark/>
          </w:tcPr>
          <w:p w14:paraId="27C19264" w14:textId="6F6BAE42" w:rsidR="00FD0D7D" w:rsidRPr="001D5AE2" w:rsidRDefault="00FD0D7D" w:rsidP="00FD0D7D">
            <w:pPr>
              <w:spacing w:after="0" w:line="240" w:lineRule="auto"/>
              <w:jc w:val="right"/>
              <w:rPr>
                <w:rFonts w:eastAsia="Times New Roman" w:cstheme="minorHAnsi"/>
                <w:color w:val="000000"/>
                <w:sz w:val="20"/>
                <w:szCs w:val="20"/>
              </w:rPr>
            </w:pPr>
            <w:r w:rsidRPr="001D5AE2">
              <w:t>10,146</w:t>
            </w:r>
          </w:p>
        </w:tc>
        <w:tc>
          <w:tcPr>
            <w:tcW w:w="1026" w:type="dxa"/>
            <w:shd w:val="clear" w:color="auto" w:fill="auto"/>
            <w:noWrap/>
            <w:hideMark/>
          </w:tcPr>
          <w:p w14:paraId="4819C365" w14:textId="2224CC27" w:rsidR="00FD0D7D" w:rsidRPr="001D5AE2" w:rsidRDefault="00FD0D7D" w:rsidP="00FD0D7D">
            <w:pPr>
              <w:spacing w:after="0" w:line="240" w:lineRule="auto"/>
              <w:jc w:val="right"/>
              <w:rPr>
                <w:rFonts w:eastAsia="Times New Roman" w:cstheme="minorHAnsi"/>
                <w:color w:val="000000"/>
                <w:sz w:val="20"/>
                <w:szCs w:val="20"/>
              </w:rPr>
            </w:pPr>
            <w:r w:rsidRPr="001D5AE2">
              <w:t>15,460</w:t>
            </w:r>
          </w:p>
        </w:tc>
        <w:tc>
          <w:tcPr>
            <w:tcW w:w="1026" w:type="dxa"/>
            <w:shd w:val="clear" w:color="auto" w:fill="auto"/>
            <w:noWrap/>
            <w:hideMark/>
          </w:tcPr>
          <w:p w14:paraId="1F69D4F5" w14:textId="63B8A06D" w:rsidR="00FD0D7D" w:rsidRPr="001D5AE2" w:rsidRDefault="00FD0D7D" w:rsidP="00FD0D7D">
            <w:pPr>
              <w:spacing w:after="0" w:line="240" w:lineRule="auto"/>
              <w:jc w:val="right"/>
              <w:rPr>
                <w:rFonts w:eastAsia="Times New Roman" w:cstheme="minorHAnsi"/>
                <w:color w:val="000000"/>
                <w:sz w:val="20"/>
                <w:szCs w:val="20"/>
              </w:rPr>
            </w:pPr>
            <w:r w:rsidRPr="001D5AE2">
              <w:t>5,344</w:t>
            </w:r>
          </w:p>
        </w:tc>
        <w:tc>
          <w:tcPr>
            <w:tcW w:w="1026" w:type="dxa"/>
            <w:shd w:val="clear" w:color="auto" w:fill="auto"/>
            <w:noWrap/>
            <w:hideMark/>
          </w:tcPr>
          <w:p w14:paraId="3A1B779F" w14:textId="43AA8EA7" w:rsidR="00FD0D7D" w:rsidRPr="001D5AE2" w:rsidRDefault="00FD0D7D" w:rsidP="00FD0D7D">
            <w:pPr>
              <w:spacing w:after="0" w:line="240" w:lineRule="auto"/>
              <w:jc w:val="right"/>
              <w:rPr>
                <w:rFonts w:eastAsia="Times New Roman" w:cstheme="minorHAnsi"/>
                <w:color w:val="000000"/>
                <w:sz w:val="20"/>
                <w:szCs w:val="20"/>
              </w:rPr>
            </w:pPr>
            <w:r w:rsidRPr="001D5AE2">
              <w:t>9,218</w:t>
            </w:r>
          </w:p>
        </w:tc>
        <w:tc>
          <w:tcPr>
            <w:tcW w:w="1026" w:type="dxa"/>
            <w:shd w:val="clear" w:color="auto" w:fill="auto"/>
            <w:noWrap/>
            <w:hideMark/>
          </w:tcPr>
          <w:p w14:paraId="4AC8E694" w14:textId="153E26C3" w:rsidR="00FD0D7D" w:rsidRPr="001D5AE2" w:rsidRDefault="00FD0D7D" w:rsidP="00FD0D7D">
            <w:pPr>
              <w:spacing w:after="0" w:line="240" w:lineRule="auto"/>
              <w:jc w:val="right"/>
              <w:rPr>
                <w:rFonts w:eastAsia="Times New Roman" w:cstheme="minorHAnsi"/>
                <w:color w:val="000000"/>
                <w:sz w:val="20"/>
                <w:szCs w:val="20"/>
              </w:rPr>
            </w:pPr>
            <w:r w:rsidRPr="001D5AE2">
              <w:t>1,528</w:t>
            </w:r>
          </w:p>
        </w:tc>
      </w:tr>
      <w:tr w:rsidR="00FD0D7D" w:rsidRPr="001D5AE2" w14:paraId="6C64C0BB" w14:textId="77777777" w:rsidTr="00540713">
        <w:trPr>
          <w:trHeight w:val="276"/>
        </w:trPr>
        <w:tc>
          <w:tcPr>
            <w:tcW w:w="3544" w:type="dxa"/>
            <w:shd w:val="clear" w:color="auto" w:fill="auto"/>
            <w:noWrap/>
            <w:vAlign w:val="bottom"/>
            <w:hideMark/>
          </w:tcPr>
          <w:p w14:paraId="4CC5B4BD" w14:textId="77777777" w:rsidR="00FD0D7D" w:rsidRPr="001D5AE2" w:rsidRDefault="00FD0D7D" w:rsidP="00FD0D7D">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External</w:t>
            </w:r>
          </w:p>
        </w:tc>
        <w:tc>
          <w:tcPr>
            <w:tcW w:w="1026" w:type="dxa"/>
            <w:shd w:val="clear" w:color="auto" w:fill="auto"/>
            <w:noWrap/>
            <w:hideMark/>
          </w:tcPr>
          <w:p w14:paraId="57B3A122" w14:textId="1F602E22" w:rsidR="00FD0D7D" w:rsidRPr="001D5AE2" w:rsidRDefault="00FD0D7D" w:rsidP="00FD0D7D">
            <w:pPr>
              <w:spacing w:after="0" w:line="240" w:lineRule="auto"/>
              <w:jc w:val="right"/>
              <w:rPr>
                <w:rFonts w:eastAsia="Times New Roman" w:cstheme="minorHAnsi"/>
                <w:color w:val="000000"/>
                <w:sz w:val="20"/>
                <w:szCs w:val="20"/>
              </w:rPr>
            </w:pPr>
            <w:r w:rsidRPr="001D5AE2">
              <w:t>332</w:t>
            </w:r>
          </w:p>
        </w:tc>
        <w:tc>
          <w:tcPr>
            <w:tcW w:w="1026" w:type="dxa"/>
            <w:shd w:val="clear" w:color="auto" w:fill="auto"/>
            <w:noWrap/>
            <w:hideMark/>
          </w:tcPr>
          <w:p w14:paraId="21397377" w14:textId="0BB0FE95" w:rsidR="00FD0D7D" w:rsidRPr="001D5AE2" w:rsidRDefault="00FD0D7D" w:rsidP="00FD0D7D">
            <w:pPr>
              <w:spacing w:after="0" w:line="240" w:lineRule="auto"/>
              <w:jc w:val="right"/>
              <w:rPr>
                <w:rFonts w:eastAsia="Times New Roman" w:cstheme="minorHAnsi"/>
                <w:color w:val="000000"/>
                <w:sz w:val="20"/>
                <w:szCs w:val="20"/>
              </w:rPr>
            </w:pPr>
            <w:r w:rsidRPr="001D5AE2">
              <w:t>484</w:t>
            </w:r>
          </w:p>
        </w:tc>
        <w:tc>
          <w:tcPr>
            <w:tcW w:w="1026" w:type="dxa"/>
            <w:shd w:val="clear" w:color="auto" w:fill="auto"/>
            <w:noWrap/>
            <w:hideMark/>
          </w:tcPr>
          <w:p w14:paraId="340F551A" w14:textId="06CC54D2" w:rsidR="00FD0D7D" w:rsidRPr="001D5AE2" w:rsidRDefault="00FD0D7D" w:rsidP="00FD0D7D">
            <w:pPr>
              <w:spacing w:after="0" w:line="240" w:lineRule="auto"/>
              <w:jc w:val="right"/>
              <w:rPr>
                <w:rFonts w:eastAsia="Times New Roman" w:cstheme="minorHAnsi"/>
                <w:color w:val="000000"/>
                <w:sz w:val="20"/>
                <w:szCs w:val="20"/>
              </w:rPr>
            </w:pPr>
            <w:r w:rsidRPr="001D5AE2">
              <w:t>518</w:t>
            </w:r>
          </w:p>
        </w:tc>
        <w:tc>
          <w:tcPr>
            <w:tcW w:w="1026" w:type="dxa"/>
            <w:shd w:val="clear" w:color="auto" w:fill="auto"/>
            <w:noWrap/>
            <w:hideMark/>
          </w:tcPr>
          <w:p w14:paraId="4B409B1D" w14:textId="628300F9" w:rsidR="00FD0D7D" w:rsidRPr="001D5AE2" w:rsidRDefault="00FD0D7D" w:rsidP="00FD0D7D">
            <w:pPr>
              <w:spacing w:after="0" w:line="240" w:lineRule="auto"/>
              <w:jc w:val="right"/>
              <w:rPr>
                <w:rFonts w:eastAsia="Times New Roman" w:cstheme="minorHAnsi"/>
                <w:color w:val="000000"/>
                <w:sz w:val="20"/>
                <w:szCs w:val="20"/>
              </w:rPr>
            </w:pPr>
            <w:r w:rsidRPr="001D5AE2">
              <w:t>477</w:t>
            </w:r>
          </w:p>
        </w:tc>
        <w:tc>
          <w:tcPr>
            <w:tcW w:w="1026" w:type="dxa"/>
            <w:shd w:val="clear" w:color="auto" w:fill="auto"/>
            <w:noWrap/>
            <w:hideMark/>
          </w:tcPr>
          <w:p w14:paraId="088B8B1E" w14:textId="7F514CCD" w:rsidR="00FD0D7D" w:rsidRPr="001D5AE2" w:rsidRDefault="00FD0D7D" w:rsidP="00FD0D7D">
            <w:pPr>
              <w:spacing w:after="0" w:line="240" w:lineRule="auto"/>
              <w:jc w:val="right"/>
              <w:rPr>
                <w:rFonts w:eastAsia="Times New Roman" w:cstheme="minorHAnsi"/>
                <w:color w:val="000000"/>
                <w:sz w:val="20"/>
                <w:szCs w:val="20"/>
              </w:rPr>
            </w:pPr>
            <w:r w:rsidRPr="001D5AE2">
              <w:t>543</w:t>
            </w:r>
          </w:p>
        </w:tc>
      </w:tr>
      <w:tr w:rsidR="00FD0D7D" w:rsidRPr="001D5AE2" w14:paraId="2810C193" w14:textId="77777777" w:rsidTr="00540713">
        <w:trPr>
          <w:trHeight w:val="276"/>
        </w:trPr>
        <w:tc>
          <w:tcPr>
            <w:tcW w:w="3544" w:type="dxa"/>
            <w:shd w:val="clear" w:color="auto" w:fill="auto"/>
            <w:noWrap/>
            <w:vAlign w:val="bottom"/>
            <w:hideMark/>
          </w:tcPr>
          <w:p w14:paraId="7042C708" w14:textId="77777777" w:rsidR="00FD0D7D" w:rsidRPr="001D5AE2" w:rsidRDefault="00FD0D7D" w:rsidP="00FD0D7D">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Domestic</w:t>
            </w:r>
          </w:p>
        </w:tc>
        <w:tc>
          <w:tcPr>
            <w:tcW w:w="1026" w:type="dxa"/>
            <w:shd w:val="clear" w:color="auto" w:fill="auto"/>
            <w:noWrap/>
            <w:hideMark/>
          </w:tcPr>
          <w:p w14:paraId="4CDA7CE9" w14:textId="28EFCFA9" w:rsidR="00FD0D7D" w:rsidRPr="001D5AE2" w:rsidRDefault="00FD0D7D" w:rsidP="00FD0D7D">
            <w:pPr>
              <w:spacing w:after="0" w:line="240" w:lineRule="auto"/>
              <w:jc w:val="right"/>
              <w:rPr>
                <w:rFonts w:eastAsia="Times New Roman" w:cstheme="minorHAnsi"/>
                <w:color w:val="000000"/>
                <w:sz w:val="20"/>
                <w:szCs w:val="20"/>
              </w:rPr>
            </w:pPr>
            <w:r w:rsidRPr="001D5AE2">
              <w:t>9,814</w:t>
            </w:r>
          </w:p>
        </w:tc>
        <w:tc>
          <w:tcPr>
            <w:tcW w:w="1026" w:type="dxa"/>
            <w:shd w:val="clear" w:color="auto" w:fill="auto"/>
            <w:noWrap/>
            <w:hideMark/>
          </w:tcPr>
          <w:p w14:paraId="74F6CBFC" w14:textId="413ACC70" w:rsidR="00FD0D7D" w:rsidRPr="001D5AE2" w:rsidRDefault="00FD0D7D" w:rsidP="00FD0D7D">
            <w:pPr>
              <w:spacing w:after="0" w:line="240" w:lineRule="auto"/>
              <w:jc w:val="right"/>
              <w:rPr>
                <w:rFonts w:eastAsia="Times New Roman" w:cstheme="minorHAnsi"/>
                <w:color w:val="000000"/>
                <w:sz w:val="20"/>
                <w:szCs w:val="20"/>
              </w:rPr>
            </w:pPr>
            <w:r w:rsidRPr="001D5AE2">
              <w:t>14,976</w:t>
            </w:r>
          </w:p>
        </w:tc>
        <w:tc>
          <w:tcPr>
            <w:tcW w:w="1026" w:type="dxa"/>
            <w:shd w:val="clear" w:color="auto" w:fill="auto"/>
            <w:noWrap/>
            <w:hideMark/>
          </w:tcPr>
          <w:p w14:paraId="3AFC7E7B" w14:textId="2F01CF5B" w:rsidR="00FD0D7D" w:rsidRPr="001D5AE2" w:rsidRDefault="00FD0D7D" w:rsidP="00FD0D7D">
            <w:pPr>
              <w:spacing w:after="0" w:line="240" w:lineRule="auto"/>
              <w:jc w:val="right"/>
              <w:rPr>
                <w:rFonts w:eastAsia="Times New Roman" w:cstheme="minorHAnsi"/>
                <w:color w:val="000000"/>
                <w:sz w:val="20"/>
                <w:szCs w:val="20"/>
              </w:rPr>
            </w:pPr>
            <w:r w:rsidRPr="001D5AE2">
              <w:t>4,826</w:t>
            </w:r>
          </w:p>
        </w:tc>
        <w:tc>
          <w:tcPr>
            <w:tcW w:w="1026" w:type="dxa"/>
            <w:shd w:val="clear" w:color="auto" w:fill="auto"/>
            <w:noWrap/>
            <w:hideMark/>
          </w:tcPr>
          <w:p w14:paraId="038CF8F3" w14:textId="0CD49183" w:rsidR="00FD0D7D" w:rsidRPr="001D5AE2" w:rsidRDefault="00FD0D7D" w:rsidP="00FD0D7D">
            <w:pPr>
              <w:spacing w:after="0" w:line="240" w:lineRule="auto"/>
              <w:jc w:val="right"/>
              <w:rPr>
                <w:rFonts w:eastAsia="Times New Roman" w:cstheme="minorHAnsi"/>
                <w:color w:val="000000"/>
                <w:sz w:val="20"/>
                <w:szCs w:val="20"/>
              </w:rPr>
            </w:pPr>
            <w:r w:rsidRPr="001D5AE2">
              <w:t>8,741</w:t>
            </w:r>
          </w:p>
        </w:tc>
        <w:tc>
          <w:tcPr>
            <w:tcW w:w="1026" w:type="dxa"/>
            <w:shd w:val="clear" w:color="auto" w:fill="auto"/>
            <w:noWrap/>
            <w:hideMark/>
          </w:tcPr>
          <w:p w14:paraId="52372199" w14:textId="74CF074A" w:rsidR="00FD0D7D" w:rsidRPr="001D5AE2" w:rsidRDefault="00FD0D7D" w:rsidP="00FD0D7D">
            <w:pPr>
              <w:spacing w:after="0" w:line="240" w:lineRule="auto"/>
              <w:jc w:val="right"/>
              <w:rPr>
                <w:rFonts w:eastAsia="Times New Roman" w:cstheme="minorHAnsi"/>
                <w:color w:val="000000"/>
                <w:sz w:val="20"/>
                <w:szCs w:val="20"/>
              </w:rPr>
            </w:pPr>
            <w:r w:rsidRPr="001D5AE2">
              <w:t>986</w:t>
            </w:r>
          </w:p>
        </w:tc>
      </w:tr>
    </w:tbl>
    <w:p w14:paraId="25DEF9D3" w14:textId="2FC41316" w:rsidR="00856B93" w:rsidRPr="001D5AE2" w:rsidRDefault="00856B93" w:rsidP="00856B93">
      <w:pPr>
        <w:pStyle w:val="ListParagraph"/>
        <w:spacing w:line="360" w:lineRule="auto"/>
        <w:ind w:left="567"/>
        <w:jc w:val="both"/>
        <w:rPr>
          <w:rFonts w:ascii="Tahoma" w:hAnsi="Tahoma" w:cs="Tahoma"/>
          <w:bCs/>
        </w:rPr>
      </w:pPr>
    </w:p>
    <w:p w14:paraId="101CF741" w14:textId="64ECEA6D" w:rsidR="00556242" w:rsidRPr="001D5AE2" w:rsidRDefault="00E80589" w:rsidP="00E122F0">
      <w:pPr>
        <w:spacing w:line="360" w:lineRule="auto"/>
        <w:jc w:val="both"/>
        <w:rPr>
          <w:rFonts w:ascii="Tahoma" w:hAnsi="Tahoma" w:cs="Tahoma"/>
          <w:bCs/>
        </w:rPr>
      </w:pPr>
      <w:r w:rsidRPr="001D5AE2">
        <w:rPr>
          <w:noProof/>
        </w:rPr>
        <w:lastRenderedPageBreak/>
        <w:drawing>
          <wp:inline distT="0" distB="0" distL="0" distR="0" wp14:anchorId="4438DA0E" wp14:editId="04C932D4">
            <wp:extent cx="5486400" cy="3018155"/>
            <wp:effectExtent l="0" t="0" r="0" b="0"/>
            <wp:docPr id="2459186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2FA58A01" w14:textId="6999F02B" w:rsidR="00856B93" w:rsidRPr="001D5AE2" w:rsidRDefault="00461B2E" w:rsidP="00F74CD9">
      <w:pPr>
        <w:spacing w:line="360" w:lineRule="auto"/>
        <w:jc w:val="both"/>
        <w:rPr>
          <w:rFonts w:ascii="Tahoma" w:hAnsi="Tahoma" w:cs="Tahoma"/>
          <w:bCs/>
        </w:rPr>
      </w:pPr>
      <w:r w:rsidRPr="001D5AE2">
        <w:rPr>
          <w:rFonts w:ascii="Tahoma" w:hAnsi="Tahoma" w:cs="Tahoma"/>
          <w:bCs/>
        </w:rPr>
        <w:t xml:space="preserve">The total </w:t>
      </w:r>
      <w:r w:rsidR="00F74CD9" w:rsidRPr="001D5AE2">
        <w:rPr>
          <w:rFonts w:ascii="Tahoma" w:hAnsi="Tahoma" w:cs="Tahoma"/>
          <w:bCs/>
        </w:rPr>
        <w:t xml:space="preserve">Interest Payment was </w:t>
      </w:r>
      <w:r w:rsidRPr="001D5AE2">
        <w:rPr>
          <w:rFonts w:ascii="Tahoma" w:hAnsi="Tahoma" w:cs="Tahoma"/>
          <w:bCs/>
        </w:rPr>
        <w:t>N2,102 million in 2023, N</w:t>
      </w:r>
      <w:r w:rsidR="00CF36B2" w:rsidRPr="001D5AE2">
        <w:rPr>
          <w:rFonts w:ascii="Tahoma" w:hAnsi="Tahoma" w:cs="Tahoma"/>
          <w:bCs/>
        </w:rPr>
        <w:t>3,158 million in 2022, N1,659 million in 2021, N1,014 million in 2020 as well as N</w:t>
      </w:r>
      <w:r w:rsidR="00246E87" w:rsidRPr="001D5AE2">
        <w:rPr>
          <w:rFonts w:ascii="Tahoma" w:hAnsi="Tahoma" w:cs="Tahoma"/>
          <w:bCs/>
        </w:rPr>
        <w:t>2,299 million in 2019 respectively</w:t>
      </w:r>
      <w:r w:rsidR="00F74CD9" w:rsidRPr="001D5AE2">
        <w:rPr>
          <w:rFonts w:ascii="Tahoma" w:hAnsi="Tahoma" w:cs="Tahoma"/>
          <w:bCs/>
        </w:rPr>
        <w:t>.</w:t>
      </w:r>
    </w:p>
    <w:p w14:paraId="76E40B96" w14:textId="4A18E8CB" w:rsidR="00540713" w:rsidRPr="001D5AE2" w:rsidRDefault="00540713" w:rsidP="00540713">
      <w:pPr>
        <w:spacing w:after="0" w:line="360" w:lineRule="auto"/>
        <w:jc w:val="both"/>
        <w:rPr>
          <w:rFonts w:ascii="Tahoma" w:hAnsi="Tahoma" w:cs="Tahoma"/>
          <w:b/>
          <w:iCs/>
        </w:rPr>
      </w:pPr>
      <w:r w:rsidRPr="001D5AE2">
        <w:rPr>
          <w:rFonts w:ascii="Tahoma" w:hAnsi="Tahoma" w:cs="Tahoma"/>
          <w:b/>
          <w:iCs/>
        </w:rPr>
        <w:t>Total Interest Payment, 2019-2023 (NGN’ Million)</w:t>
      </w:r>
    </w:p>
    <w:tbl>
      <w:tblPr>
        <w:tblW w:w="868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6"/>
        <w:gridCol w:w="1000"/>
        <w:gridCol w:w="1000"/>
        <w:gridCol w:w="1000"/>
        <w:gridCol w:w="1000"/>
        <w:gridCol w:w="1000"/>
      </w:tblGrid>
      <w:tr w:rsidR="0078131A" w:rsidRPr="001D5AE2" w14:paraId="2DD81E51" w14:textId="77777777" w:rsidTr="00540713">
        <w:trPr>
          <w:trHeight w:val="276"/>
        </w:trPr>
        <w:tc>
          <w:tcPr>
            <w:tcW w:w="3686" w:type="dxa"/>
            <w:shd w:val="clear" w:color="auto" w:fill="92D050"/>
            <w:noWrap/>
            <w:vAlign w:val="bottom"/>
            <w:hideMark/>
          </w:tcPr>
          <w:p w14:paraId="6FE4B26B" w14:textId="77777777" w:rsidR="0078131A" w:rsidRPr="001D5AE2" w:rsidRDefault="0078131A" w:rsidP="0078131A">
            <w:pPr>
              <w:spacing w:after="0" w:line="240" w:lineRule="auto"/>
              <w:rPr>
                <w:rFonts w:eastAsia="Times New Roman" w:cstheme="minorHAnsi"/>
                <w:b/>
                <w:bCs/>
                <w:sz w:val="20"/>
                <w:szCs w:val="20"/>
              </w:rPr>
            </w:pPr>
            <w:r w:rsidRPr="001D5AE2">
              <w:rPr>
                <w:rFonts w:eastAsia="Times New Roman" w:cstheme="minorHAnsi"/>
                <w:b/>
                <w:bCs/>
                <w:sz w:val="20"/>
                <w:szCs w:val="20"/>
              </w:rPr>
              <w:t>Interest Payment</w:t>
            </w:r>
          </w:p>
        </w:tc>
        <w:tc>
          <w:tcPr>
            <w:tcW w:w="1000" w:type="dxa"/>
            <w:shd w:val="clear" w:color="auto" w:fill="92D050"/>
            <w:noWrap/>
            <w:hideMark/>
          </w:tcPr>
          <w:p w14:paraId="339D9374" w14:textId="7081E5F5" w:rsidR="0078131A" w:rsidRPr="001D5AE2" w:rsidRDefault="0078131A" w:rsidP="0078131A">
            <w:pPr>
              <w:spacing w:after="0" w:line="240" w:lineRule="auto"/>
              <w:jc w:val="right"/>
              <w:rPr>
                <w:rFonts w:eastAsia="Times New Roman" w:cstheme="minorHAnsi"/>
                <w:b/>
                <w:bCs/>
                <w:color w:val="000000"/>
                <w:sz w:val="20"/>
                <w:szCs w:val="20"/>
              </w:rPr>
            </w:pPr>
            <w:r w:rsidRPr="001D5AE2">
              <w:t>2019</w:t>
            </w:r>
          </w:p>
        </w:tc>
        <w:tc>
          <w:tcPr>
            <w:tcW w:w="1000" w:type="dxa"/>
            <w:shd w:val="clear" w:color="auto" w:fill="92D050"/>
            <w:noWrap/>
            <w:hideMark/>
          </w:tcPr>
          <w:p w14:paraId="3F2EA83A" w14:textId="74872922" w:rsidR="0078131A" w:rsidRPr="001D5AE2" w:rsidRDefault="0078131A" w:rsidP="0078131A">
            <w:pPr>
              <w:spacing w:after="0" w:line="240" w:lineRule="auto"/>
              <w:jc w:val="right"/>
              <w:rPr>
                <w:rFonts w:eastAsia="Times New Roman" w:cstheme="minorHAnsi"/>
                <w:b/>
                <w:bCs/>
                <w:color w:val="000000"/>
                <w:sz w:val="20"/>
                <w:szCs w:val="20"/>
              </w:rPr>
            </w:pPr>
            <w:r w:rsidRPr="001D5AE2">
              <w:t>2020</w:t>
            </w:r>
          </w:p>
        </w:tc>
        <w:tc>
          <w:tcPr>
            <w:tcW w:w="1000" w:type="dxa"/>
            <w:shd w:val="clear" w:color="auto" w:fill="92D050"/>
            <w:noWrap/>
            <w:hideMark/>
          </w:tcPr>
          <w:p w14:paraId="7BF87FCD" w14:textId="7D2AB39B" w:rsidR="0078131A" w:rsidRPr="001D5AE2" w:rsidRDefault="0078131A" w:rsidP="0078131A">
            <w:pPr>
              <w:spacing w:after="0" w:line="240" w:lineRule="auto"/>
              <w:jc w:val="right"/>
              <w:rPr>
                <w:rFonts w:eastAsia="Times New Roman" w:cstheme="minorHAnsi"/>
                <w:b/>
                <w:bCs/>
                <w:color w:val="000000"/>
                <w:sz w:val="20"/>
                <w:szCs w:val="20"/>
              </w:rPr>
            </w:pPr>
            <w:r w:rsidRPr="001D5AE2">
              <w:t>2021</w:t>
            </w:r>
          </w:p>
        </w:tc>
        <w:tc>
          <w:tcPr>
            <w:tcW w:w="1000" w:type="dxa"/>
            <w:shd w:val="clear" w:color="auto" w:fill="92D050"/>
            <w:noWrap/>
            <w:hideMark/>
          </w:tcPr>
          <w:p w14:paraId="074BC74C" w14:textId="2F7F5693" w:rsidR="0078131A" w:rsidRPr="001D5AE2" w:rsidRDefault="0078131A" w:rsidP="0078131A">
            <w:pPr>
              <w:spacing w:after="0" w:line="240" w:lineRule="auto"/>
              <w:jc w:val="right"/>
              <w:rPr>
                <w:rFonts w:eastAsia="Times New Roman" w:cstheme="minorHAnsi"/>
                <w:b/>
                <w:bCs/>
                <w:color w:val="000000"/>
                <w:sz w:val="20"/>
                <w:szCs w:val="20"/>
              </w:rPr>
            </w:pPr>
            <w:r w:rsidRPr="001D5AE2">
              <w:t>2022</w:t>
            </w:r>
          </w:p>
        </w:tc>
        <w:tc>
          <w:tcPr>
            <w:tcW w:w="1000" w:type="dxa"/>
            <w:shd w:val="clear" w:color="auto" w:fill="92D050"/>
            <w:noWrap/>
            <w:hideMark/>
          </w:tcPr>
          <w:p w14:paraId="012970C6" w14:textId="1A1C50A8" w:rsidR="0078131A" w:rsidRPr="001D5AE2" w:rsidRDefault="0078131A" w:rsidP="0078131A">
            <w:pPr>
              <w:spacing w:after="0" w:line="240" w:lineRule="auto"/>
              <w:jc w:val="right"/>
              <w:rPr>
                <w:rFonts w:eastAsia="Times New Roman" w:cstheme="minorHAnsi"/>
                <w:b/>
                <w:bCs/>
                <w:color w:val="000000"/>
                <w:sz w:val="20"/>
                <w:szCs w:val="20"/>
              </w:rPr>
            </w:pPr>
            <w:r w:rsidRPr="001D5AE2">
              <w:t>2023</w:t>
            </w:r>
          </w:p>
        </w:tc>
      </w:tr>
      <w:tr w:rsidR="0078131A" w:rsidRPr="001D5AE2" w14:paraId="649AA716" w14:textId="77777777" w:rsidTr="00540713">
        <w:trPr>
          <w:trHeight w:val="276"/>
        </w:trPr>
        <w:tc>
          <w:tcPr>
            <w:tcW w:w="3686" w:type="dxa"/>
            <w:shd w:val="clear" w:color="auto" w:fill="auto"/>
            <w:noWrap/>
            <w:vAlign w:val="bottom"/>
            <w:hideMark/>
          </w:tcPr>
          <w:p w14:paraId="570FE0B8" w14:textId="77777777" w:rsidR="0078131A" w:rsidRPr="001D5AE2" w:rsidRDefault="0078131A" w:rsidP="0078131A">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Interest Payment</w:t>
            </w:r>
          </w:p>
        </w:tc>
        <w:tc>
          <w:tcPr>
            <w:tcW w:w="1000" w:type="dxa"/>
            <w:shd w:val="clear" w:color="auto" w:fill="auto"/>
            <w:noWrap/>
            <w:hideMark/>
          </w:tcPr>
          <w:p w14:paraId="172CC947" w14:textId="313EFC70" w:rsidR="0078131A" w:rsidRPr="001D5AE2" w:rsidRDefault="0078131A" w:rsidP="0078131A">
            <w:pPr>
              <w:spacing w:after="0" w:line="240" w:lineRule="auto"/>
              <w:jc w:val="right"/>
              <w:rPr>
                <w:rFonts w:eastAsia="Times New Roman" w:cstheme="minorHAnsi"/>
                <w:color w:val="000000"/>
                <w:sz w:val="20"/>
                <w:szCs w:val="20"/>
              </w:rPr>
            </w:pPr>
            <w:r w:rsidRPr="001D5AE2">
              <w:t>2,299</w:t>
            </w:r>
          </w:p>
        </w:tc>
        <w:tc>
          <w:tcPr>
            <w:tcW w:w="1000" w:type="dxa"/>
            <w:shd w:val="clear" w:color="auto" w:fill="auto"/>
            <w:noWrap/>
            <w:hideMark/>
          </w:tcPr>
          <w:p w14:paraId="2C325D18" w14:textId="0996210A" w:rsidR="0078131A" w:rsidRPr="001D5AE2" w:rsidRDefault="0078131A" w:rsidP="0078131A">
            <w:pPr>
              <w:spacing w:after="0" w:line="240" w:lineRule="auto"/>
              <w:jc w:val="right"/>
              <w:rPr>
                <w:rFonts w:eastAsia="Times New Roman" w:cstheme="minorHAnsi"/>
                <w:color w:val="000000"/>
                <w:sz w:val="20"/>
                <w:szCs w:val="20"/>
              </w:rPr>
            </w:pPr>
            <w:r w:rsidRPr="001D5AE2">
              <w:t>1,014</w:t>
            </w:r>
          </w:p>
        </w:tc>
        <w:tc>
          <w:tcPr>
            <w:tcW w:w="1000" w:type="dxa"/>
            <w:shd w:val="clear" w:color="auto" w:fill="auto"/>
            <w:noWrap/>
            <w:hideMark/>
          </w:tcPr>
          <w:p w14:paraId="232A3351" w14:textId="04AFAEE0" w:rsidR="0078131A" w:rsidRPr="001D5AE2" w:rsidRDefault="0078131A" w:rsidP="0078131A">
            <w:pPr>
              <w:spacing w:after="0" w:line="240" w:lineRule="auto"/>
              <w:jc w:val="right"/>
              <w:rPr>
                <w:rFonts w:eastAsia="Times New Roman" w:cstheme="minorHAnsi"/>
                <w:color w:val="000000"/>
                <w:sz w:val="20"/>
                <w:szCs w:val="20"/>
              </w:rPr>
            </w:pPr>
            <w:r w:rsidRPr="001D5AE2">
              <w:t>1,659</w:t>
            </w:r>
          </w:p>
        </w:tc>
        <w:tc>
          <w:tcPr>
            <w:tcW w:w="1000" w:type="dxa"/>
            <w:shd w:val="clear" w:color="auto" w:fill="auto"/>
            <w:noWrap/>
            <w:hideMark/>
          </w:tcPr>
          <w:p w14:paraId="24FF7CD9" w14:textId="0F0091C6" w:rsidR="0078131A" w:rsidRPr="001D5AE2" w:rsidRDefault="0078131A" w:rsidP="0078131A">
            <w:pPr>
              <w:spacing w:after="0" w:line="240" w:lineRule="auto"/>
              <w:jc w:val="right"/>
              <w:rPr>
                <w:rFonts w:eastAsia="Times New Roman" w:cstheme="minorHAnsi"/>
                <w:color w:val="000000"/>
                <w:sz w:val="20"/>
                <w:szCs w:val="20"/>
              </w:rPr>
            </w:pPr>
            <w:r w:rsidRPr="001D5AE2">
              <w:t>3,158</w:t>
            </w:r>
          </w:p>
        </w:tc>
        <w:tc>
          <w:tcPr>
            <w:tcW w:w="1000" w:type="dxa"/>
            <w:shd w:val="clear" w:color="auto" w:fill="auto"/>
            <w:noWrap/>
            <w:hideMark/>
          </w:tcPr>
          <w:p w14:paraId="7865632D" w14:textId="240E6F7C" w:rsidR="0078131A" w:rsidRPr="001D5AE2" w:rsidRDefault="0078131A" w:rsidP="0078131A">
            <w:pPr>
              <w:spacing w:after="0" w:line="240" w:lineRule="auto"/>
              <w:jc w:val="right"/>
              <w:rPr>
                <w:rFonts w:eastAsia="Times New Roman" w:cstheme="minorHAnsi"/>
                <w:color w:val="000000"/>
                <w:sz w:val="20"/>
                <w:szCs w:val="20"/>
              </w:rPr>
            </w:pPr>
            <w:r w:rsidRPr="001D5AE2">
              <w:t>2,102</w:t>
            </w:r>
          </w:p>
        </w:tc>
      </w:tr>
      <w:tr w:rsidR="0078131A" w:rsidRPr="001D5AE2" w14:paraId="137FB720" w14:textId="77777777" w:rsidTr="00540713">
        <w:trPr>
          <w:trHeight w:val="276"/>
        </w:trPr>
        <w:tc>
          <w:tcPr>
            <w:tcW w:w="3686" w:type="dxa"/>
            <w:shd w:val="clear" w:color="auto" w:fill="auto"/>
            <w:noWrap/>
            <w:vAlign w:val="bottom"/>
            <w:hideMark/>
          </w:tcPr>
          <w:p w14:paraId="1C08ED02" w14:textId="77777777" w:rsidR="0078131A" w:rsidRPr="001D5AE2" w:rsidRDefault="0078131A" w:rsidP="0078131A">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 xml:space="preserve">External </w:t>
            </w:r>
          </w:p>
        </w:tc>
        <w:tc>
          <w:tcPr>
            <w:tcW w:w="1000" w:type="dxa"/>
            <w:shd w:val="clear" w:color="auto" w:fill="auto"/>
            <w:noWrap/>
            <w:hideMark/>
          </w:tcPr>
          <w:p w14:paraId="1D791C6D" w14:textId="625696C6" w:rsidR="0078131A" w:rsidRPr="001D5AE2" w:rsidRDefault="0078131A" w:rsidP="0078131A">
            <w:pPr>
              <w:spacing w:after="0" w:line="240" w:lineRule="auto"/>
              <w:jc w:val="right"/>
              <w:rPr>
                <w:rFonts w:eastAsia="Times New Roman" w:cstheme="minorHAnsi"/>
                <w:color w:val="000000"/>
                <w:sz w:val="20"/>
                <w:szCs w:val="20"/>
              </w:rPr>
            </w:pPr>
            <w:r w:rsidRPr="001D5AE2">
              <w:t>81</w:t>
            </w:r>
          </w:p>
        </w:tc>
        <w:tc>
          <w:tcPr>
            <w:tcW w:w="1000" w:type="dxa"/>
            <w:shd w:val="clear" w:color="auto" w:fill="auto"/>
            <w:noWrap/>
            <w:hideMark/>
          </w:tcPr>
          <w:p w14:paraId="4A444C00" w14:textId="570E82FC" w:rsidR="0078131A" w:rsidRPr="001D5AE2" w:rsidRDefault="0078131A" w:rsidP="0078131A">
            <w:pPr>
              <w:spacing w:after="0" w:line="240" w:lineRule="auto"/>
              <w:jc w:val="right"/>
              <w:rPr>
                <w:rFonts w:eastAsia="Times New Roman" w:cstheme="minorHAnsi"/>
                <w:color w:val="000000"/>
                <w:sz w:val="20"/>
                <w:szCs w:val="20"/>
              </w:rPr>
            </w:pPr>
            <w:r w:rsidRPr="001D5AE2">
              <w:t>89</w:t>
            </w:r>
          </w:p>
        </w:tc>
        <w:tc>
          <w:tcPr>
            <w:tcW w:w="1000" w:type="dxa"/>
            <w:shd w:val="clear" w:color="auto" w:fill="auto"/>
            <w:noWrap/>
            <w:hideMark/>
          </w:tcPr>
          <w:p w14:paraId="39248400" w14:textId="11DC7817" w:rsidR="0078131A" w:rsidRPr="001D5AE2" w:rsidRDefault="0078131A" w:rsidP="0078131A">
            <w:pPr>
              <w:spacing w:after="0" w:line="240" w:lineRule="auto"/>
              <w:jc w:val="right"/>
              <w:rPr>
                <w:rFonts w:eastAsia="Times New Roman" w:cstheme="minorHAnsi"/>
                <w:color w:val="000000"/>
                <w:sz w:val="20"/>
                <w:szCs w:val="20"/>
              </w:rPr>
            </w:pPr>
            <w:r w:rsidRPr="001D5AE2">
              <w:t>93</w:t>
            </w:r>
          </w:p>
        </w:tc>
        <w:tc>
          <w:tcPr>
            <w:tcW w:w="1000" w:type="dxa"/>
            <w:shd w:val="clear" w:color="auto" w:fill="auto"/>
            <w:noWrap/>
            <w:hideMark/>
          </w:tcPr>
          <w:p w14:paraId="48E8D256" w14:textId="2BF1DB3F" w:rsidR="0078131A" w:rsidRPr="001D5AE2" w:rsidRDefault="0078131A" w:rsidP="0078131A">
            <w:pPr>
              <w:spacing w:after="0" w:line="240" w:lineRule="auto"/>
              <w:jc w:val="right"/>
              <w:rPr>
                <w:rFonts w:eastAsia="Times New Roman" w:cstheme="minorHAnsi"/>
                <w:color w:val="000000"/>
                <w:sz w:val="20"/>
                <w:szCs w:val="20"/>
              </w:rPr>
            </w:pPr>
            <w:r w:rsidRPr="001D5AE2">
              <w:t>103</w:t>
            </w:r>
          </w:p>
        </w:tc>
        <w:tc>
          <w:tcPr>
            <w:tcW w:w="1000" w:type="dxa"/>
            <w:shd w:val="clear" w:color="auto" w:fill="auto"/>
            <w:noWrap/>
            <w:hideMark/>
          </w:tcPr>
          <w:p w14:paraId="26D9FB05" w14:textId="328D0BE1" w:rsidR="0078131A" w:rsidRPr="001D5AE2" w:rsidRDefault="0078131A" w:rsidP="0078131A">
            <w:pPr>
              <w:spacing w:after="0" w:line="240" w:lineRule="auto"/>
              <w:jc w:val="right"/>
              <w:rPr>
                <w:rFonts w:eastAsia="Times New Roman" w:cstheme="minorHAnsi"/>
                <w:color w:val="000000"/>
                <w:sz w:val="20"/>
                <w:szCs w:val="20"/>
              </w:rPr>
            </w:pPr>
            <w:r w:rsidRPr="001D5AE2">
              <w:t>116</w:t>
            </w:r>
          </w:p>
        </w:tc>
      </w:tr>
      <w:tr w:rsidR="0078131A" w:rsidRPr="001D5AE2" w14:paraId="02036B2F" w14:textId="77777777" w:rsidTr="00540713">
        <w:trPr>
          <w:trHeight w:val="276"/>
        </w:trPr>
        <w:tc>
          <w:tcPr>
            <w:tcW w:w="3686" w:type="dxa"/>
            <w:shd w:val="clear" w:color="auto" w:fill="auto"/>
            <w:noWrap/>
            <w:vAlign w:val="bottom"/>
            <w:hideMark/>
          </w:tcPr>
          <w:p w14:paraId="25A104F8" w14:textId="77777777" w:rsidR="0078131A" w:rsidRPr="001D5AE2" w:rsidRDefault="0078131A" w:rsidP="0078131A">
            <w:pPr>
              <w:spacing w:after="0" w:line="240" w:lineRule="auto"/>
              <w:rPr>
                <w:rFonts w:eastAsia="Times New Roman" w:cstheme="minorHAnsi"/>
                <w:color w:val="000000"/>
                <w:sz w:val="20"/>
                <w:szCs w:val="20"/>
              </w:rPr>
            </w:pPr>
            <w:r w:rsidRPr="001D5AE2">
              <w:rPr>
                <w:rFonts w:eastAsia="Times New Roman" w:cstheme="minorHAnsi"/>
                <w:color w:val="000000"/>
                <w:sz w:val="20"/>
                <w:szCs w:val="20"/>
              </w:rPr>
              <w:t>Domestic</w:t>
            </w:r>
          </w:p>
        </w:tc>
        <w:tc>
          <w:tcPr>
            <w:tcW w:w="1000" w:type="dxa"/>
            <w:shd w:val="clear" w:color="auto" w:fill="auto"/>
            <w:noWrap/>
            <w:hideMark/>
          </w:tcPr>
          <w:p w14:paraId="2D48565E" w14:textId="67208119" w:rsidR="0078131A" w:rsidRPr="001D5AE2" w:rsidRDefault="0078131A" w:rsidP="0078131A">
            <w:pPr>
              <w:spacing w:after="0" w:line="240" w:lineRule="auto"/>
              <w:jc w:val="right"/>
              <w:rPr>
                <w:rFonts w:eastAsia="Times New Roman" w:cstheme="minorHAnsi"/>
                <w:color w:val="000000"/>
                <w:sz w:val="20"/>
                <w:szCs w:val="20"/>
              </w:rPr>
            </w:pPr>
            <w:r w:rsidRPr="001D5AE2">
              <w:t>2,219</w:t>
            </w:r>
          </w:p>
        </w:tc>
        <w:tc>
          <w:tcPr>
            <w:tcW w:w="1000" w:type="dxa"/>
            <w:shd w:val="clear" w:color="auto" w:fill="auto"/>
            <w:noWrap/>
            <w:hideMark/>
          </w:tcPr>
          <w:p w14:paraId="4B26176F" w14:textId="1EE860A1" w:rsidR="0078131A" w:rsidRPr="001D5AE2" w:rsidRDefault="0078131A" w:rsidP="0078131A">
            <w:pPr>
              <w:spacing w:after="0" w:line="240" w:lineRule="auto"/>
              <w:jc w:val="right"/>
              <w:rPr>
                <w:rFonts w:eastAsia="Times New Roman" w:cstheme="minorHAnsi"/>
                <w:color w:val="000000"/>
                <w:sz w:val="20"/>
                <w:szCs w:val="20"/>
              </w:rPr>
            </w:pPr>
            <w:r w:rsidRPr="001D5AE2">
              <w:t>925</w:t>
            </w:r>
          </w:p>
        </w:tc>
        <w:tc>
          <w:tcPr>
            <w:tcW w:w="1000" w:type="dxa"/>
            <w:shd w:val="clear" w:color="auto" w:fill="auto"/>
            <w:noWrap/>
            <w:hideMark/>
          </w:tcPr>
          <w:p w14:paraId="0F5DDB83" w14:textId="674B21F2" w:rsidR="0078131A" w:rsidRPr="001D5AE2" w:rsidRDefault="0078131A" w:rsidP="0078131A">
            <w:pPr>
              <w:spacing w:after="0" w:line="240" w:lineRule="auto"/>
              <w:jc w:val="right"/>
              <w:rPr>
                <w:rFonts w:eastAsia="Times New Roman" w:cstheme="minorHAnsi"/>
                <w:color w:val="000000"/>
                <w:sz w:val="20"/>
                <w:szCs w:val="20"/>
              </w:rPr>
            </w:pPr>
            <w:r w:rsidRPr="001D5AE2">
              <w:t>1,566</w:t>
            </w:r>
          </w:p>
        </w:tc>
        <w:tc>
          <w:tcPr>
            <w:tcW w:w="1000" w:type="dxa"/>
            <w:shd w:val="clear" w:color="auto" w:fill="auto"/>
            <w:noWrap/>
            <w:hideMark/>
          </w:tcPr>
          <w:p w14:paraId="1EBAF06E" w14:textId="79275312" w:rsidR="0078131A" w:rsidRPr="001D5AE2" w:rsidRDefault="0078131A" w:rsidP="0078131A">
            <w:pPr>
              <w:spacing w:after="0" w:line="240" w:lineRule="auto"/>
              <w:jc w:val="right"/>
              <w:rPr>
                <w:rFonts w:eastAsia="Times New Roman" w:cstheme="minorHAnsi"/>
                <w:color w:val="000000"/>
                <w:sz w:val="20"/>
                <w:szCs w:val="20"/>
              </w:rPr>
            </w:pPr>
            <w:r w:rsidRPr="001D5AE2">
              <w:t>3,055</w:t>
            </w:r>
          </w:p>
        </w:tc>
        <w:tc>
          <w:tcPr>
            <w:tcW w:w="1000" w:type="dxa"/>
            <w:shd w:val="clear" w:color="auto" w:fill="auto"/>
            <w:noWrap/>
            <w:hideMark/>
          </w:tcPr>
          <w:p w14:paraId="04A67C83" w14:textId="5A3F1675" w:rsidR="0078131A" w:rsidRPr="001D5AE2" w:rsidRDefault="0078131A" w:rsidP="0078131A">
            <w:pPr>
              <w:spacing w:after="0" w:line="240" w:lineRule="auto"/>
              <w:jc w:val="right"/>
              <w:rPr>
                <w:rFonts w:eastAsia="Times New Roman" w:cstheme="minorHAnsi"/>
                <w:color w:val="000000"/>
                <w:sz w:val="20"/>
                <w:szCs w:val="20"/>
              </w:rPr>
            </w:pPr>
            <w:r w:rsidRPr="001D5AE2">
              <w:t>1,985</w:t>
            </w:r>
          </w:p>
        </w:tc>
      </w:tr>
    </w:tbl>
    <w:p w14:paraId="5833A963" w14:textId="73594958" w:rsidR="00856B93" w:rsidRPr="001D5AE2" w:rsidRDefault="00856B93" w:rsidP="00856B93">
      <w:pPr>
        <w:pStyle w:val="ListParagraph"/>
        <w:spacing w:line="360" w:lineRule="auto"/>
        <w:ind w:left="567"/>
        <w:jc w:val="both"/>
        <w:rPr>
          <w:rFonts w:ascii="Tahoma" w:hAnsi="Tahoma" w:cs="Tahoma"/>
          <w:bCs/>
        </w:rPr>
      </w:pPr>
    </w:p>
    <w:p w14:paraId="435F9853" w14:textId="11CEBD4D" w:rsidR="00B664DB" w:rsidRPr="001D5AE2" w:rsidRDefault="00A32BE8" w:rsidP="002136A2">
      <w:pPr>
        <w:pStyle w:val="ListParagraph"/>
        <w:spacing w:line="360" w:lineRule="auto"/>
        <w:ind w:left="0"/>
        <w:jc w:val="both"/>
        <w:rPr>
          <w:rFonts w:ascii="Tahoma" w:hAnsi="Tahoma" w:cs="Tahoma"/>
          <w:bCs/>
        </w:rPr>
      </w:pPr>
      <w:r w:rsidRPr="001D5AE2">
        <w:rPr>
          <w:noProof/>
        </w:rPr>
        <w:drawing>
          <wp:inline distT="0" distB="0" distL="0" distR="0" wp14:anchorId="7B4149D6" wp14:editId="55D69C3B">
            <wp:extent cx="5486400" cy="3018155"/>
            <wp:effectExtent l="0" t="0" r="0" b="0"/>
            <wp:docPr id="5091209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2105E8D1" w14:textId="4BB8410F" w:rsidR="00856B93" w:rsidRPr="001D5AE2" w:rsidRDefault="00856B93" w:rsidP="00856B93">
      <w:pPr>
        <w:pStyle w:val="Heading1"/>
        <w:spacing w:before="0" w:line="360" w:lineRule="auto"/>
        <w:rPr>
          <w:rFonts w:ascii="Tahoma" w:hAnsi="Tahoma" w:cs="Tahoma"/>
          <w:b/>
          <w:bCs/>
          <w:color w:val="0070C0"/>
          <w:sz w:val="24"/>
          <w:szCs w:val="24"/>
        </w:rPr>
      </w:pPr>
      <w:bookmarkStart w:id="3" w:name="_Toc184224160"/>
      <w:r w:rsidRPr="001D5AE2">
        <w:rPr>
          <w:rFonts w:ascii="Tahoma" w:hAnsi="Tahoma" w:cs="Tahoma"/>
          <w:b/>
          <w:bCs/>
          <w:color w:val="0070C0"/>
          <w:sz w:val="24"/>
          <w:szCs w:val="24"/>
        </w:rPr>
        <w:lastRenderedPageBreak/>
        <w:t>Chapter 4:</w:t>
      </w:r>
      <w:r w:rsidR="00735334" w:rsidRPr="001D5AE2">
        <w:rPr>
          <w:rFonts w:ascii="Tahoma" w:hAnsi="Tahoma" w:cs="Tahoma"/>
          <w:b/>
          <w:bCs/>
          <w:color w:val="0070C0"/>
          <w:sz w:val="24"/>
          <w:szCs w:val="24"/>
        </w:rPr>
        <w:tab/>
      </w:r>
      <w:r w:rsidRPr="001D5AE2">
        <w:rPr>
          <w:rFonts w:ascii="Tahoma" w:hAnsi="Tahoma" w:cs="Tahoma"/>
          <w:b/>
          <w:bCs/>
          <w:color w:val="0070C0"/>
          <w:sz w:val="24"/>
          <w:szCs w:val="24"/>
        </w:rPr>
        <w:t>Debt Sustainability Analysis</w:t>
      </w:r>
      <w:bookmarkEnd w:id="3"/>
    </w:p>
    <w:p w14:paraId="7AC168F9" w14:textId="77777777" w:rsidR="00856B93" w:rsidRPr="001D5AE2" w:rsidRDefault="00856B93" w:rsidP="00856B93">
      <w:pPr>
        <w:spacing w:line="360" w:lineRule="auto"/>
        <w:jc w:val="both"/>
        <w:rPr>
          <w:rFonts w:ascii="Tahoma" w:hAnsi="Tahoma" w:cs="Tahoma"/>
          <w:i/>
        </w:rPr>
      </w:pPr>
      <w:r w:rsidRPr="001D5AE2">
        <w:rPr>
          <w:rFonts w:ascii="Tahoma" w:hAnsi="Tahoma" w:cs="Tahoma"/>
          <w:i/>
        </w:rPr>
        <w:t xml:space="preserve">“The concept of debt sustainability refers to the ability of the government to honor its future financial obligations. Since policies and institutions governing spending and taxation largely determine such obligations, debt sustainability ultimately refers to the ability of the government to maintain sound fiscal policies over time without having to introduce major budgetary or debt adjustments in the future. Conversely, fiscal policies are deemed unsustainable when they lead to excessive accumulation of public debt, which could eventually cause the government to take action to address the unwanted consequences of a heavy debt burden”. </w:t>
      </w:r>
    </w:p>
    <w:p w14:paraId="68E50A7F" w14:textId="384FCE06" w:rsidR="00856B93" w:rsidRPr="001D5AE2" w:rsidRDefault="00856B93" w:rsidP="003B5227">
      <w:pPr>
        <w:spacing w:after="0"/>
        <w:rPr>
          <w:rFonts w:ascii="Tahoma" w:hAnsi="Tahoma" w:cs="Tahoma"/>
          <w:b/>
          <w:bCs/>
          <w:i/>
        </w:rPr>
      </w:pPr>
      <w:r w:rsidRPr="001D5AE2">
        <w:rPr>
          <w:rFonts w:ascii="Tahoma" w:hAnsi="Tahoma" w:cs="Tahoma"/>
          <w:b/>
          <w:bCs/>
        </w:rPr>
        <w:t>Table 1:</w:t>
      </w:r>
      <w:r w:rsidRPr="001D5AE2">
        <w:rPr>
          <w:rFonts w:ascii="Tahoma" w:hAnsi="Tahoma" w:cs="Tahoma"/>
          <w:b/>
          <w:bCs/>
        </w:rPr>
        <w:tab/>
      </w:r>
      <w:r w:rsidR="00865C76" w:rsidRPr="001D5AE2">
        <w:rPr>
          <w:rFonts w:ascii="Tahoma" w:hAnsi="Tahoma" w:cs="Tahoma"/>
          <w:b/>
          <w:bCs/>
        </w:rPr>
        <w:t>Kebbi</w:t>
      </w:r>
      <w:r w:rsidRPr="001D5AE2">
        <w:rPr>
          <w:rFonts w:ascii="Tahoma" w:hAnsi="Tahoma" w:cs="Tahoma"/>
          <w:b/>
          <w:bCs/>
        </w:rPr>
        <w:t xml:space="preserve"> State Debt burden indicators as at end-20</w:t>
      </w:r>
      <w:r w:rsidR="00E841BA" w:rsidRPr="001D5AE2">
        <w:rPr>
          <w:rFonts w:ascii="Tahoma" w:hAnsi="Tahoma" w:cs="Tahoma"/>
          <w:b/>
          <w:bCs/>
        </w:rPr>
        <w:t>2</w:t>
      </w:r>
      <w:r w:rsidR="00ED03A9" w:rsidRPr="001D5AE2">
        <w:rPr>
          <w:rFonts w:ascii="Tahoma" w:hAnsi="Tahoma" w:cs="Tahoma"/>
          <w:b/>
          <w:bCs/>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2163"/>
        <w:gridCol w:w="1960"/>
      </w:tblGrid>
      <w:tr w:rsidR="00856B93" w:rsidRPr="001D5AE2" w14:paraId="53C30F56" w14:textId="77777777" w:rsidTr="003509E2">
        <w:tc>
          <w:tcPr>
            <w:tcW w:w="4512" w:type="dxa"/>
            <w:shd w:val="clear" w:color="auto" w:fill="auto"/>
          </w:tcPr>
          <w:p w14:paraId="35D095A9" w14:textId="77777777" w:rsidR="00856B93" w:rsidRPr="001D5AE2" w:rsidRDefault="00856B93" w:rsidP="00851A3E">
            <w:pPr>
              <w:pStyle w:val="ListParagraph"/>
              <w:spacing w:after="0" w:line="360" w:lineRule="auto"/>
              <w:ind w:left="0"/>
              <w:jc w:val="both"/>
              <w:rPr>
                <w:rFonts w:ascii="Tahoma" w:hAnsi="Tahoma" w:cs="Tahoma"/>
                <w:b/>
                <w:bCs/>
                <w:sz w:val="22"/>
                <w:szCs w:val="22"/>
              </w:rPr>
            </w:pPr>
            <w:r w:rsidRPr="001D5AE2">
              <w:rPr>
                <w:rFonts w:ascii="Tahoma" w:hAnsi="Tahoma" w:cs="Tahoma"/>
                <w:b/>
                <w:bCs/>
                <w:sz w:val="22"/>
                <w:szCs w:val="22"/>
              </w:rPr>
              <w:t>Indicators</w:t>
            </w:r>
          </w:p>
        </w:tc>
        <w:tc>
          <w:tcPr>
            <w:tcW w:w="2163" w:type="dxa"/>
            <w:shd w:val="clear" w:color="auto" w:fill="auto"/>
          </w:tcPr>
          <w:p w14:paraId="1E0A40F9" w14:textId="77777777" w:rsidR="00856B93" w:rsidRPr="001D5AE2" w:rsidRDefault="00856B93" w:rsidP="00851A3E">
            <w:pPr>
              <w:pStyle w:val="ListParagraph"/>
              <w:spacing w:after="0" w:line="360" w:lineRule="auto"/>
              <w:ind w:left="0"/>
              <w:jc w:val="center"/>
              <w:rPr>
                <w:rFonts w:ascii="Tahoma" w:hAnsi="Tahoma" w:cs="Tahoma"/>
                <w:b/>
                <w:bCs/>
                <w:sz w:val="22"/>
                <w:szCs w:val="22"/>
              </w:rPr>
            </w:pPr>
            <w:r w:rsidRPr="001D5AE2">
              <w:rPr>
                <w:rFonts w:ascii="Tahoma" w:hAnsi="Tahoma" w:cs="Tahoma"/>
                <w:b/>
                <w:bCs/>
                <w:sz w:val="22"/>
                <w:szCs w:val="22"/>
              </w:rPr>
              <w:t>Thresholds</w:t>
            </w:r>
          </w:p>
        </w:tc>
        <w:tc>
          <w:tcPr>
            <w:tcW w:w="1960" w:type="dxa"/>
            <w:shd w:val="clear" w:color="auto" w:fill="auto"/>
          </w:tcPr>
          <w:p w14:paraId="0A6B5C5D" w14:textId="77777777" w:rsidR="00856B93" w:rsidRPr="001D5AE2" w:rsidRDefault="00856B93" w:rsidP="00851A3E">
            <w:pPr>
              <w:pStyle w:val="ListParagraph"/>
              <w:spacing w:after="0" w:line="360" w:lineRule="auto"/>
              <w:ind w:left="0"/>
              <w:jc w:val="center"/>
              <w:rPr>
                <w:rFonts w:ascii="Tahoma" w:hAnsi="Tahoma" w:cs="Tahoma"/>
                <w:b/>
                <w:bCs/>
                <w:sz w:val="22"/>
                <w:szCs w:val="22"/>
              </w:rPr>
            </w:pPr>
            <w:r w:rsidRPr="001D5AE2">
              <w:rPr>
                <w:rFonts w:ascii="Tahoma" w:hAnsi="Tahoma" w:cs="Tahoma"/>
                <w:b/>
                <w:bCs/>
                <w:sz w:val="22"/>
                <w:szCs w:val="22"/>
              </w:rPr>
              <w:t>Ratio</w:t>
            </w:r>
          </w:p>
        </w:tc>
      </w:tr>
      <w:tr w:rsidR="00856B93" w:rsidRPr="001D5AE2" w14:paraId="563E5082" w14:textId="77777777" w:rsidTr="003509E2">
        <w:tc>
          <w:tcPr>
            <w:tcW w:w="4512" w:type="dxa"/>
            <w:shd w:val="clear" w:color="auto" w:fill="auto"/>
          </w:tcPr>
          <w:p w14:paraId="7D302EE1" w14:textId="77777777" w:rsidR="00856B93" w:rsidRPr="001D5AE2" w:rsidRDefault="00856B93" w:rsidP="00851A3E">
            <w:pPr>
              <w:pStyle w:val="ListParagraph"/>
              <w:spacing w:after="0" w:line="360" w:lineRule="auto"/>
              <w:ind w:left="0"/>
              <w:jc w:val="both"/>
              <w:rPr>
                <w:rFonts w:ascii="Tahoma" w:hAnsi="Tahoma" w:cs="Tahoma"/>
                <w:sz w:val="22"/>
                <w:szCs w:val="22"/>
              </w:rPr>
            </w:pPr>
            <w:r w:rsidRPr="001D5AE2">
              <w:rPr>
                <w:rFonts w:ascii="Tahoma" w:hAnsi="Tahoma" w:cs="Tahoma"/>
                <w:sz w:val="22"/>
                <w:szCs w:val="22"/>
              </w:rPr>
              <w:t xml:space="preserve">Debt as % of GDP </w:t>
            </w:r>
          </w:p>
        </w:tc>
        <w:tc>
          <w:tcPr>
            <w:tcW w:w="2163" w:type="dxa"/>
            <w:shd w:val="clear" w:color="auto" w:fill="auto"/>
          </w:tcPr>
          <w:p w14:paraId="3C83695F" w14:textId="77777777" w:rsidR="00856B93" w:rsidRPr="001D5AE2" w:rsidRDefault="00856B93" w:rsidP="00851A3E">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25%</w:t>
            </w:r>
          </w:p>
        </w:tc>
        <w:tc>
          <w:tcPr>
            <w:tcW w:w="1960" w:type="dxa"/>
            <w:shd w:val="clear" w:color="auto" w:fill="auto"/>
          </w:tcPr>
          <w:p w14:paraId="186E3044" w14:textId="32308AB9" w:rsidR="00856B93" w:rsidRPr="001D5AE2" w:rsidRDefault="00ED03A9" w:rsidP="00851A3E">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3.39</w:t>
            </w:r>
          </w:p>
        </w:tc>
      </w:tr>
      <w:tr w:rsidR="00856B93" w:rsidRPr="001D5AE2" w14:paraId="450C512C" w14:textId="77777777" w:rsidTr="003509E2">
        <w:tc>
          <w:tcPr>
            <w:tcW w:w="4512" w:type="dxa"/>
            <w:shd w:val="clear" w:color="auto" w:fill="auto"/>
          </w:tcPr>
          <w:p w14:paraId="2FA360B9" w14:textId="77777777" w:rsidR="00856B93" w:rsidRPr="001D5AE2" w:rsidRDefault="00856B93" w:rsidP="00851A3E">
            <w:pPr>
              <w:pStyle w:val="ListParagraph"/>
              <w:spacing w:after="0" w:line="360" w:lineRule="auto"/>
              <w:ind w:left="0"/>
              <w:jc w:val="both"/>
              <w:rPr>
                <w:rFonts w:ascii="Tahoma" w:hAnsi="Tahoma" w:cs="Tahoma"/>
                <w:sz w:val="22"/>
                <w:szCs w:val="22"/>
              </w:rPr>
            </w:pPr>
            <w:r w:rsidRPr="001D5AE2">
              <w:rPr>
                <w:rFonts w:ascii="Tahoma" w:hAnsi="Tahoma" w:cs="Tahoma"/>
                <w:sz w:val="22"/>
                <w:szCs w:val="22"/>
              </w:rPr>
              <w:t>Debt as % of Revenue</w:t>
            </w:r>
          </w:p>
        </w:tc>
        <w:tc>
          <w:tcPr>
            <w:tcW w:w="2163" w:type="dxa"/>
            <w:shd w:val="clear" w:color="auto" w:fill="auto"/>
          </w:tcPr>
          <w:p w14:paraId="29C2565A" w14:textId="77777777" w:rsidR="00856B93" w:rsidRPr="001D5AE2" w:rsidRDefault="00856B93" w:rsidP="00851A3E">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200%</w:t>
            </w:r>
          </w:p>
        </w:tc>
        <w:tc>
          <w:tcPr>
            <w:tcW w:w="1960" w:type="dxa"/>
            <w:shd w:val="clear" w:color="auto" w:fill="auto"/>
          </w:tcPr>
          <w:p w14:paraId="1F777691" w14:textId="72912FFD" w:rsidR="00856B93" w:rsidRPr="001D5AE2" w:rsidRDefault="00ED03A9" w:rsidP="00851A3E">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65</w:t>
            </w:r>
            <w:r w:rsidR="000E4556" w:rsidRPr="001D5AE2">
              <w:rPr>
                <w:rFonts w:ascii="Tahoma" w:hAnsi="Tahoma" w:cs="Tahoma"/>
                <w:sz w:val="22"/>
                <w:szCs w:val="22"/>
              </w:rPr>
              <w:t>.41</w:t>
            </w:r>
          </w:p>
        </w:tc>
      </w:tr>
      <w:tr w:rsidR="00856B93" w:rsidRPr="001D5AE2" w14:paraId="6E7A8942" w14:textId="77777777" w:rsidTr="003509E2">
        <w:tc>
          <w:tcPr>
            <w:tcW w:w="4512" w:type="dxa"/>
            <w:shd w:val="clear" w:color="auto" w:fill="auto"/>
          </w:tcPr>
          <w:p w14:paraId="0492DD2E" w14:textId="77777777" w:rsidR="00856B93" w:rsidRPr="001D5AE2" w:rsidRDefault="00856B93" w:rsidP="00851A3E">
            <w:pPr>
              <w:pStyle w:val="ListParagraph"/>
              <w:spacing w:after="0" w:line="360" w:lineRule="auto"/>
              <w:ind w:left="0"/>
              <w:jc w:val="both"/>
              <w:rPr>
                <w:rFonts w:ascii="Tahoma" w:hAnsi="Tahoma" w:cs="Tahoma"/>
                <w:sz w:val="22"/>
                <w:szCs w:val="22"/>
              </w:rPr>
            </w:pPr>
            <w:r w:rsidRPr="001D5AE2">
              <w:rPr>
                <w:rFonts w:ascii="Tahoma" w:hAnsi="Tahoma" w:cs="Tahoma"/>
                <w:sz w:val="22"/>
                <w:szCs w:val="22"/>
              </w:rPr>
              <w:t>Debt Service as % of Revenue</w:t>
            </w:r>
          </w:p>
        </w:tc>
        <w:tc>
          <w:tcPr>
            <w:tcW w:w="2163" w:type="dxa"/>
            <w:shd w:val="clear" w:color="auto" w:fill="auto"/>
          </w:tcPr>
          <w:p w14:paraId="113BD92C" w14:textId="77777777" w:rsidR="00856B93" w:rsidRPr="001D5AE2" w:rsidRDefault="00856B93" w:rsidP="00851A3E">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40%</w:t>
            </w:r>
          </w:p>
        </w:tc>
        <w:tc>
          <w:tcPr>
            <w:tcW w:w="1960" w:type="dxa"/>
            <w:shd w:val="clear" w:color="auto" w:fill="auto"/>
          </w:tcPr>
          <w:p w14:paraId="40072DF3" w14:textId="3185B149" w:rsidR="00856B93" w:rsidRPr="001D5AE2" w:rsidRDefault="003509E2" w:rsidP="00851A3E">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3.13</w:t>
            </w:r>
          </w:p>
        </w:tc>
      </w:tr>
      <w:tr w:rsidR="00856B93" w:rsidRPr="001D5AE2" w14:paraId="3C2FFF2B" w14:textId="77777777" w:rsidTr="003509E2">
        <w:tc>
          <w:tcPr>
            <w:tcW w:w="4512" w:type="dxa"/>
            <w:shd w:val="clear" w:color="auto" w:fill="auto"/>
          </w:tcPr>
          <w:p w14:paraId="6DF09BD7" w14:textId="77777777" w:rsidR="00856B93" w:rsidRPr="001D5AE2" w:rsidRDefault="00856B93" w:rsidP="00851A3E">
            <w:pPr>
              <w:pStyle w:val="ListParagraph"/>
              <w:spacing w:after="0" w:line="360" w:lineRule="auto"/>
              <w:ind w:left="0"/>
              <w:jc w:val="both"/>
              <w:rPr>
                <w:rFonts w:ascii="Tahoma" w:hAnsi="Tahoma" w:cs="Tahoma"/>
                <w:sz w:val="22"/>
                <w:szCs w:val="22"/>
              </w:rPr>
            </w:pPr>
            <w:r w:rsidRPr="001D5AE2">
              <w:rPr>
                <w:rFonts w:ascii="Tahoma" w:hAnsi="Tahoma" w:cs="Tahoma"/>
                <w:sz w:val="22"/>
                <w:szCs w:val="22"/>
              </w:rPr>
              <w:t>Personnel Costas % of Revenue</w:t>
            </w:r>
          </w:p>
        </w:tc>
        <w:tc>
          <w:tcPr>
            <w:tcW w:w="2163" w:type="dxa"/>
            <w:shd w:val="clear" w:color="auto" w:fill="auto"/>
          </w:tcPr>
          <w:p w14:paraId="4297727A" w14:textId="77777777" w:rsidR="00856B93" w:rsidRPr="001D5AE2" w:rsidRDefault="00856B93" w:rsidP="00851A3E">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60%</w:t>
            </w:r>
          </w:p>
        </w:tc>
        <w:tc>
          <w:tcPr>
            <w:tcW w:w="1960" w:type="dxa"/>
            <w:shd w:val="clear" w:color="auto" w:fill="auto"/>
          </w:tcPr>
          <w:p w14:paraId="470F9766" w14:textId="40E7A886" w:rsidR="00856B93" w:rsidRPr="001D5AE2" w:rsidRDefault="003509E2" w:rsidP="00851A3E">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21.66</w:t>
            </w:r>
          </w:p>
        </w:tc>
      </w:tr>
      <w:tr w:rsidR="003509E2" w:rsidRPr="001D5AE2" w14:paraId="2A7806EE" w14:textId="77777777" w:rsidTr="003509E2">
        <w:tc>
          <w:tcPr>
            <w:tcW w:w="4512" w:type="dxa"/>
            <w:shd w:val="clear" w:color="auto" w:fill="auto"/>
          </w:tcPr>
          <w:p w14:paraId="185CE9AB" w14:textId="77777777" w:rsidR="003509E2" w:rsidRPr="001D5AE2" w:rsidRDefault="003509E2" w:rsidP="003509E2">
            <w:pPr>
              <w:pStyle w:val="ListParagraph"/>
              <w:spacing w:after="0" w:line="360" w:lineRule="auto"/>
              <w:ind w:left="0"/>
              <w:jc w:val="both"/>
              <w:rPr>
                <w:rFonts w:ascii="Tahoma" w:hAnsi="Tahoma" w:cs="Tahoma"/>
                <w:sz w:val="22"/>
                <w:szCs w:val="22"/>
              </w:rPr>
            </w:pPr>
            <w:r w:rsidRPr="001D5AE2">
              <w:rPr>
                <w:rFonts w:ascii="Tahoma" w:hAnsi="Tahoma" w:cs="Tahoma"/>
                <w:sz w:val="22"/>
                <w:szCs w:val="22"/>
              </w:rPr>
              <w:t>Debt Service as % of FAAC Allocation</w:t>
            </w:r>
          </w:p>
        </w:tc>
        <w:tc>
          <w:tcPr>
            <w:tcW w:w="2163" w:type="dxa"/>
            <w:shd w:val="clear" w:color="auto" w:fill="auto"/>
          </w:tcPr>
          <w:p w14:paraId="3F7CFED1" w14:textId="77777777" w:rsidR="003509E2" w:rsidRPr="001D5AE2" w:rsidRDefault="003509E2" w:rsidP="003509E2">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Nil</w:t>
            </w:r>
          </w:p>
        </w:tc>
        <w:tc>
          <w:tcPr>
            <w:tcW w:w="1960" w:type="dxa"/>
            <w:shd w:val="clear" w:color="auto" w:fill="auto"/>
          </w:tcPr>
          <w:p w14:paraId="39486C85" w14:textId="6553B600" w:rsidR="003509E2" w:rsidRPr="001D5AE2" w:rsidRDefault="003509E2" w:rsidP="003509E2">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4.47</w:t>
            </w:r>
          </w:p>
        </w:tc>
      </w:tr>
      <w:tr w:rsidR="003509E2" w:rsidRPr="001D5AE2" w14:paraId="643AEC01" w14:textId="77777777" w:rsidTr="003509E2">
        <w:tc>
          <w:tcPr>
            <w:tcW w:w="4512" w:type="dxa"/>
            <w:shd w:val="clear" w:color="auto" w:fill="auto"/>
          </w:tcPr>
          <w:p w14:paraId="59AE9F6B" w14:textId="77777777" w:rsidR="003509E2" w:rsidRPr="001D5AE2" w:rsidRDefault="003509E2" w:rsidP="003509E2">
            <w:pPr>
              <w:pStyle w:val="ListParagraph"/>
              <w:spacing w:after="0" w:line="360" w:lineRule="auto"/>
              <w:ind w:left="0"/>
              <w:jc w:val="both"/>
              <w:rPr>
                <w:rFonts w:ascii="Tahoma" w:hAnsi="Tahoma" w:cs="Tahoma"/>
                <w:sz w:val="22"/>
                <w:szCs w:val="22"/>
              </w:rPr>
            </w:pPr>
            <w:r w:rsidRPr="001D5AE2">
              <w:rPr>
                <w:rFonts w:ascii="Tahoma" w:hAnsi="Tahoma" w:cs="Tahoma"/>
                <w:sz w:val="22"/>
                <w:szCs w:val="22"/>
              </w:rPr>
              <w:t>Interest Payment as % of Revenue</w:t>
            </w:r>
          </w:p>
        </w:tc>
        <w:tc>
          <w:tcPr>
            <w:tcW w:w="2163" w:type="dxa"/>
            <w:shd w:val="clear" w:color="auto" w:fill="auto"/>
          </w:tcPr>
          <w:p w14:paraId="1B26A63D" w14:textId="77777777" w:rsidR="003509E2" w:rsidRPr="001D5AE2" w:rsidRDefault="003509E2" w:rsidP="003509E2">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Nil</w:t>
            </w:r>
          </w:p>
        </w:tc>
        <w:tc>
          <w:tcPr>
            <w:tcW w:w="1960" w:type="dxa"/>
            <w:shd w:val="clear" w:color="auto" w:fill="auto"/>
          </w:tcPr>
          <w:p w14:paraId="34C427E2" w14:textId="577A0F5E" w:rsidR="003509E2" w:rsidRPr="001D5AE2" w:rsidRDefault="003509E2" w:rsidP="003509E2">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1.81</w:t>
            </w:r>
          </w:p>
        </w:tc>
      </w:tr>
      <w:tr w:rsidR="003509E2" w:rsidRPr="001D5AE2" w14:paraId="365C581A" w14:textId="77777777" w:rsidTr="003509E2">
        <w:tc>
          <w:tcPr>
            <w:tcW w:w="4512" w:type="dxa"/>
            <w:shd w:val="clear" w:color="auto" w:fill="auto"/>
          </w:tcPr>
          <w:p w14:paraId="437CD993" w14:textId="77777777" w:rsidR="003509E2" w:rsidRPr="001D5AE2" w:rsidRDefault="003509E2" w:rsidP="003509E2">
            <w:pPr>
              <w:pStyle w:val="ListParagraph"/>
              <w:spacing w:after="0" w:line="360" w:lineRule="auto"/>
              <w:ind w:left="0"/>
              <w:jc w:val="both"/>
              <w:rPr>
                <w:rFonts w:ascii="Tahoma" w:hAnsi="Tahoma" w:cs="Tahoma"/>
                <w:sz w:val="22"/>
                <w:szCs w:val="22"/>
              </w:rPr>
            </w:pPr>
            <w:r w:rsidRPr="001D5AE2">
              <w:rPr>
                <w:rFonts w:ascii="Tahoma" w:hAnsi="Tahoma" w:cs="Tahoma"/>
                <w:sz w:val="22"/>
                <w:szCs w:val="22"/>
              </w:rPr>
              <w:t>External Debt Service as % of Revenue</w:t>
            </w:r>
          </w:p>
        </w:tc>
        <w:tc>
          <w:tcPr>
            <w:tcW w:w="2163" w:type="dxa"/>
            <w:shd w:val="clear" w:color="auto" w:fill="auto"/>
          </w:tcPr>
          <w:p w14:paraId="27B3B5DE" w14:textId="77777777" w:rsidR="003509E2" w:rsidRPr="001D5AE2" w:rsidRDefault="003509E2" w:rsidP="003509E2">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Nil</w:t>
            </w:r>
          </w:p>
        </w:tc>
        <w:tc>
          <w:tcPr>
            <w:tcW w:w="1960" w:type="dxa"/>
            <w:shd w:val="clear" w:color="auto" w:fill="auto"/>
          </w:tcPr>
          <w:p w14:paraId="3454DAD8" w14:textId="00AC5C2C" w:rsidR="003509E2" w:rsidRPr="001D5AE2" w:rsidRDefault="003509E2" w:rsidP="003509E2">
            <w:pPr>
              <w:pStyle w:val="ListParagraph"/>
              <w:spacing w:after="0" w:line="360" w:lineRule="auto"/>
              <w:ind w:left="0"/>
              <w:jc w:val="center"/>
              <w:rPr>
                <w:rFonts w:ascii="Tahoma" w:hAnsi="Tahoma" w:cs="Tahoma"/>
                <w:sz w:val="22"/>
                <w:szCs w:val="22"/>
              </w:rPr>
            </w:pPr>
            <w:r w:rsidRPr="001D5AE2">
              <w:rPr>
                <w:rFonts w:ascii="Tahoma" w:hAnsi="Tahoma" w:cs="Tahoma"/>
                <w:sz w:val="22"/>
                <w:szCs w:val="22"/>
              </w:rPr>
              <w:t>0.57</w:t>
            </w:r>
          </w:p>
        </w:tc>
      </w:tr>
    </w:tbl>
    <w:p w14:paraId="6DFAD478" w14:textId="4AEE44E0" w:rsidR="00856B93" w:rsidRPr="001D5AE2" w:rsidRDefault="00856B93" w:rsidP="00856B93">
      <w:pPr>
        <w:spacing w:line="360" w:lineRule="auto"/>
        <w:jc w:val="both"/>
        <w:rPr>
          <w:rFonts w:ascii="Tahoma" w:hAnsi="Tahoma" w:cs="Tahoma"/>
          <w:iCs/>
          <w:sz w:val="18"/>
          <w:szCs w:val="18"/>
        </w:rPr>
      </w:pPr>
      <w:r w:rsidRPr="001D5AE2">
        <w:rPr>
          <w:rFonts w:ascii="Tahoma" w:hAnsi="Tahoma" w:cs="Tahoma"/>
          <w:b/>
          <w:bCs/>
          <w:iCs/>
          <w:sz w:val="18"/>
          <w:szCs w:val="18"/>
        </w:rPr>
        <w:t>Source:</w:t>
      </w:r>
      <w:r w:rsidRPr="001D5AE2">
        <w:rPr>
          <w:rFonts w:ascii="Tahoma" w:hAnsi="Tahoma" w:cs="Tahoma"/>
          <w:iCs/>
          <w:sz w:val="18"/>
          <w:szCs w:val="18"/>
        </w:rPr>
        <w:t xml:space="preserve"> </w:t>
      </w:r>
      <w:r w:rsidR="00865C76" w:rsidRPr="001D5AE2">
        <w:rPr>
          <w:rFonts w:ascii="Tahoma" w:hAnsi="Tahoma" w:cs="Tahoma"/>
          <w:iCs/>
          <w:sz w:val="18"/>
          <w:szCs w:val="18"/>
        </w:rPr>
        <w:t>Kebbi</w:t>
      </w:r>
      <w:r w:rsidRPr="001D5AE2">
        <w:rPr>
          <w:rFonts w:ascii="Tahoma" w:hAnsi="Tahoma" w:cs="Tahoma"/>
          <w:iCs/>
          <w:sz w:val="18"/>
          <w:szCs w:val="18"/>
        </w:rPr>
        <w:t xml:space="preserve"> State DMD</w:t>
      </w:r>
    </w:p>
    <w:p w14:paraId="4AB5E5DF" w14:textId="1012FCEA" w:rsidR="00856B93" w:rsidRPr="001D5AE2" w:rsidRDefault="00856B93" w:rsidP="00856B93">
      <w:pPr>
        <w:spacing w:after="0" w:line="360" w:lineRule="auto"/>
        <w:rPr>
          <w:rFonts w:ascii="Tahoma" w:hAnsi="Tahoma" w:cs="Tahoma"/>
          <w:b/>
          <w:iCs/>
        </w:rPr>
      </w:pPr>
      <w:r w:rsidRPr="001D5AE2">
        <w:rPr>
          <w:rFonts w:ascii="Tahoma" w:hAnsi="Tahoma" w:cs="Tahoma"/>
          <w:b/>
          <w:iCs/>
        </w:rPr>
        <w:t>4.</w:t>
      </w:r>
      <w:r w:rsidR="00F418F0" w:rsidRPr="001D5AE2">
        <w:rPr>
          <w:rFonts w:ascii="Tahoma" w:hAnsi="Tahoma" w:cs="Tahoma"/>
          <w:b/>
          <w:iCs/>
        </w:rPr>
        <w:t>1</w:t>
      </w:r>
      <w:r w:rsidRPr="001D5AE2">
        <w:rPr>
          <w:rFonts w:ascii="Tahoma" w:hAnsi="Tahoma" w:cs="Tahoma"/>
          <w:b/>
          <w:iCs/>
        </w:rPr>
        <w:t xml:space="preserve"> Borrowing Options</w:t>
      </w:r>
      <w:r w:rsidR="003A03D9" w:rsidRPr="001D5AE2">
        <w:rPr>
          <w:rFonts w:ascii="Tahoma" w:hAnsi="Tahoma" w:cs="Tahoma"/>
          <w:b/>
          <w:iCs/>
        </w:rPr>
        <w:t xml:space="preserve"> and Borrowing Terms of New Debt</w:t>
      </w:r>
    </w:p>
    <w:p w14:paraId="3F40739A" w14:textId="465EBA75" w:rsidR="00856B93" w:rsidRPr="001D5AE2" w:rsidRDefault="00856B93" w:rsidP="00270D7E">
      <w:pPr>
        <w:spacing w:line="360" w:lineRule="auto"/>
        <w:jc w:val="both"/>
        <w:rPr>
          <w:rFonts w:ascii="Tahoma" w:hAnsi="Tahoma" w:cs="Tahoma"/>
          <w:color w:val="000000"/>
        </w:rPr>
      </w:pPr>
      <w:r w:rsidRPr="001D5AE2">
        <w:rPr>
          <w:rFonts w:ascii="Tahoma" w:hAnsi="Tahoma" w:cs="Tahoma"/>
          <w:color w:val="000000"/>
        </w:rPr>
        <w:t xml:space="preserve">The borrowing options are considered due to the timing of government’s cash flows throughout the fiscal year. Domestic borrowing </w:t>
      </w:r>
      <w:r w:rsidR="00313E5D" w:rsidRPr="001D5AE2">
        <w:rPr>
          <w:rFonts w:ascii="Tahoma" w:hAnsi="Tahoma" w:cs="Tahoma"/>
          <w:color w:val="000000"/>
        </w:rPr>
        <w:t>serves</w:t>
      </w:r>
      <w:r w:rsidRPr="001D5AE2">
        <w:rPr>
          <w:rFonts w:ascii="Tahoma" w:hAnsi="Tahoma" w:cs="Tahoma"/>
          <w:color w:val="000000"/>
        </w:rPr>
        <w:t xml:space="preserve"> as one of the main sources of borrowing with average ratio </w:t>
      </w:r>
      <w:r w:rsidRPr="001D5AE2">
        <w:rPr>
          <w:rFonts w:ascii="Tahoma" w:hAnsi="Tahoma" w:cs="Tahoma"/>
        </w:rPr>
        <w:t xml:space="preserve">of </w:t>
      </w:r>
      <w:r w:rsidR="001C6C73" w:rsidRPr="001D5AE2">
        <w:rPr>
          <w:rFonts w:ascii="Tahoma" w:hAnsi="Tahoma" w:cs="Tahoma"/>
        </w:rPr>
        <w:t>79</w:t>
      </w:r>
      <w:r w:rsidR="005E3AEE" w:rsidRPr="001D5AE2">
        <w:rPr>
          <w:rFonts w:ascii="Tahoma" w:hAnsi="Tahoma" w:cs="Tahoma"/>
        </w:rPr>
        <w:t xml:space="preserve">.28 </w:t>
      </w:r>
      <w:r w:rsidRPr="001D5AE2">
        <w:rPr>
          <w:rFonts w:ascii="Tahoma" w:hAnsi="Tahoma" w:cs="Tahoma"/>
        </w:rPr>
        <w:t xml:space="preserve">percent over the </w:t>
      </w:r>
      <w:r w:rsidRPr="001D5AE2">
        <w:rPr>
          <w:rFonts w:ascii="Tahoma" w:hAnsi="Tahoma" w:cs="Tahoma"/>
          <w:color w:val="000000"/>
        </w:rPr>
        <w:t>projection period from 202</w:t>
      </w:r>
      <w:r w:rsidR="00D60F9C" w:rsidRPr="001D5AE2">
        <w:rPr>
          <w:rFonts w:ascii="Tahoma" w:hAnsi="Tahoma" w:cs="Tahoma"/>
          <w:color w:val="000000"/>
        </w:rPr>
        <w:t>3</w:t>
      </w:r>
      <w:r w:rsidRPr="001D5AE2">
        <w:rPr>
          <w:rFonts w:ascii="Tahoma" w:hAnsi="Tahoma" w:cs="Tahoma"/>
          <w:color w:val="000000"/>
        </w:rPr>
        <w:t xml:space="preserve"> to 20</w:t>
      </w:r>
      <w:r w:rsidR="00313E5D" w:rsidRPr="001D5AE2">
        <w:rPr>
          <w:rFonts w:ascii="Tahoma" w:hAnsi="Tahoma" w:cs="Tahoma"/>
          <w:color w:val="000000"/>
        </w:rPr>
        <w:t>3</w:t>
      </w:r>
      <w:r w:rsidR="00D60F9C" w:rsidRPr="001D5AE2">
        <w:rPr>
          <w:rFonts w:ascii="Tahoma" w:hAnsi="Tahoma" w:cs="Tahoma"/>
          <w:color w:val="000000"/>
        </w:rPr>
        <w:t>2</w:t>
      </w:r>
      <w:r w:rsidRPr="001D5AE2">
        <w:rPr>
          <w:rFonts w:ascii="Tahoma" w:hAnsi="Tahoma" w:cs="Tahoma"/>
          <w:color w:val="000000"/>
        </w:rPr>
        <w:t xml:space="preserve"> and given the limited funding envelopes from the external borrowing with long processing time required</w:t>
      </w:r>
      <w:r w:rsidR="005E3AEE" w:rsidRPr="001D5AE2">
        <w:rPr>
          <w:rFonts w:ascii="Tahoma" w:hAnsi="Tahoma" w:cs="Tahoma"/>
          <w:color w:val="000000"/>
        </w:rPr>
        <w:t xml:space="preserve"> of </w:t>
      </w:r>
      <w:r w:rsidR="006A457B" w:rsidRPr="001D5AE2">
        <w:rPr>
          <w:rFonts w:ascii="Tahoma" w:hAnsi="Tahoma" w:cs="Tahoma"/>
          <w:color w:val="000000"/>
        </w:rPr>
        <w:t>20.72 percent</w:t>
      </w:r>
      <w:r w:rsidRPr="001D5AE2">
        <w:rPr>
          <w:rFonts w:ascii="Tahoma" w:hAnsi="Tahoma" w:cs="Tahoma"/>
          <w:color w:val="000000"/>
        </w:rPr>
        <w:t>, domestic borrowing are mainly through: the commercial ban</w:t>
      </w:r>
      <w:r w:rsidR="00313E5D" w:rsidRPr="001D5AE2">
        <w:rPr>
          <w:rFonts w:ascii="Tahoma" w:hAnsi="Tahoma" w:cs="Tahoma"/>
          <w:color w:val="000000"/>
        </w:rPr>
        <w:t>ks</w:t>
      </w:r>
      <w:r w:rsidRPr="001D5AE2">
        <w:rPr>
          <w:rFonts w:ascii="Tahoma" w:hAnsi="Tahoma" w:cs="Tahoma"/>
          <w:color w:val="000000"/>
        </w:rPr>
        <w:t>,</w:t>
      </w:r>
      <w:r w:rsidR="00551E90" w:rsidRPr="001D5AE2">
        <w:rPr>
          <w:rFonts w:ascii="Tahoma" w:hAnsi="Tahoma" w:cs="Tahoma"/>
          <w:color w:val="000000"/>
        </w:rPr>
        <w:t xml:space="preserve"> State bonds,</w:t>
      </w:r>
      <w:r w:rsidRPr="001D5AE2">
        <w:rPr>
          <w:rFonts w:ascii="Tahoma" w:hAnsi="Tahoma" w:cs="Tahoma"/>
          <w:color w:val="000000"/>
        </w:rPr>
        <w:t xml:space="preserve"> Federal Government </w:t>
      </w:r>
      <w:r w:rsidR="002748E9" w:rsidRPr="001D5AE2">
        <w:rPr>
          <w:rFonts w:ascii="Tahoma" w:hAnsi="Tahoma" w:cs="Tahoma"/>
          <w:color w:val="000000"/>
        </w:rPr>
        <w:t>Intervention</w:t>
      </w:r>
      <w:r w:rsidR="00343C7A" w:rsidRPr="001D5AE2">
        <w:rPr>
          <w:rFonts w:ascii="Tahoma" w:hAnsi="Tahoma" w:cs="Tahoma"/>
          <w:color w:val="000000"/>
        </w:rPr>
        <w:t xml:space="preserve">s </w:t>
      </w:r>
      <w:r w:rsidRPr="001D5AE2">
        <w:rPr>
          <w:rFonts w:ascii="Tahoma" w:hAnsi="Tahoma" w:cs="Tahoma"/>
          <w:color w:val="000000"/>
        </w:rPr>
        <w:t xml:space="preserve">and other </w:t>
      </w:r>
      <w:r w:rsidR="00343C7A" w:rsidRPr="001D5AE2">
        <w:rPr>
          <w:rFonts w:ascii="Tahoma" w:hAnsi="Tahoma" w:cs="Tahoma"/>
          <w:color w:val="000000"/>
        </w:rPr>
        <w:t xml:space="preserve">Interventions from </w:t>
      </w:r>
      <w:r w:rsidRPr="001D5AE2">
        <w:rPr>
          <w:rFonts w:ascii="Tahoma" w:hAnsi="Tahoma" w:cs="Tahoma"/>
          <w:color w:val="000000"/>
        </w:rPr>
        <w:t>Central Bank of Nigeria.</w:t>
      </w:r>
    </w:p>
    <w:p w14:paraId="779789F2" w14:textId="77777777" w:rsidR="00FE5ED6" w:rsidRPr="001D5AE2" w:rsidRDefault="00FE5ED6" w:rsidP="00270D7E">
      <w:pPr>
        <w:spacing w:line="360" w:lineRule="auto"/>
        <w:jc w:val="both"/>
        <w:rPr>
          <w:rFonts w:ascii="Tahoma" w:hAnsi="Tahoma" w:cs="Tahoma"/>
          <w:color w:val="000000"/>
        </w:rPr>
      </w:pPr>
    </w:p>
    <w:p w14:paraId="4593DF3C" w14:textId="77777777" w:rsidR="00FE5ED6" w:rsidRPr="001D5AE2" w:rsidRDefault="00FE5ED6" w:rsidP="00270D7E">
      <w:pPr>
        <w:spacing w:line="360" w:lineRule="auto"/>
        <w:jc w:val="both"/>
        <w:rPr>
          <w:rFonts w:ascii="Tahoma" w:hAnsi="Tahoma" w:cs="Tahoma"/>
          <w:color w:val="000000"/>
        </w:rPr>
      </w:pPr>
    </w:p>
    <w:p w14:paraId="5CC71BE1" w14:textId="77777777" w:rsidR="00FE5ED6" w:rsidRPr="001D5AE2" w:rsidRDefault="00FE5ED6" w:rsidP="00270D7E">
      <w:pPr>
        <w:spacing w:line="360" w:lineRule="auto"/>
        <w:jc w:val="both"/>
        <w:rPr>
          <w:rFonts w:ascii="Tahoma" w:hAnsi="Tahoma" w:cs="Tahoma"/>
          <w:color w:val="000000"/>
        </w:rPr>
      </w:pPr>
    </w:p>
    <w:p w14:paraId="1CEBE498" w14:textId="77777777" w:rsidR="00856B93" w:rsidRPr="001D5AE2" w:rsidRDefault="00856B93" w:rsidP="00D53E46">
      <w:pPr>
        <w:spacing w:after="0"/>
        <w:jc w:val="both"/>
        <w:rPr>
          <w:rFonts w:ascii="Tahoma" w:hAnsi="Tahoma" w:cs="Tahoma"/>
          <w:b/>
          <w:bCs/>
          <w:color w:val="000000"/>
        </w:rPr>
      </w:pPr>
      <w:r w:rsidRPr="001D5AE2">
        <w:rPr>
          <w:rFonts w:ascii="Tahoma" w:hAnsi="Tahoma" w:cs="Tahoma"/>
          <w:b/>
          <w:bCs/>
          <w:color w:val="000000"/>
        </w:rPr>
        <w:lastRenderedPageBreak/>
        <w:t>Borrowing Options</w:t>
      </w:r>
    </w:p>
    <w:tbl>
      <w:tblPr>
        <w:tblW w:w="865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769"/>
        <w:gridCol w:w="748"/>
        <w:gridCol w:w="748"/>
        <w:gridCol w:w="748"/>
        <w:gridCol w:w="748"/>
        <w:gridCol w:w="748"/>
        <w:gridCol w:w="748"/>
        <w:gridCol w:w="757"/>
        <w:gridCol w:w="748"/>
        <w:gridCol w:w="763"/>
      </w:tblGrid>
      <w:tr w:rsidR="001811A0" w:rsidRPr="001D5AE2" w14:paraId="2DEE59AF" w14:textId="77777777" w:rsidTr="001811A0">
        <w:trPr>
          <w:trHeight w:val="288"/>
        </w:trPr>
        <w:tc>
          <w:tcPr>
            <w:tcW w:w="1134" w:type="dxa"/>
            <w:shd w:val="clear" w:color="auto" w:fill="auto"/>
          </w:tcPr>
          <w:p w14:paraId="20AD59F0" w14:textId="77777777" w:rsidR="001811A0" w:rsidRPr="001D5AE2" w:rsidRDefault="001811A0" w:rsidP="001811A0">
            <w:pPr>
              <w:spacing w:after="0" w:line="240" w:lineRule="auto"/>
              <w:jc w:val="right"/>
              <w:rPr>
                <w:rFonts w:cstheme="minorHAnsi"/>
                <w:sz w:val="15"/>
                <w:szCs w:val="15"/>
              </w:rPr>
            </w:pPr>
          </w:p>
        </w:tc>
        <w:tc>
          <w:tcPr>
            <w:tcW w:w="769" w:type="dxa"/>
            <w:shd w:val="clear" w:color="auto" w:fill="auto"/>
            <w:noWrap/>
            <w:vAlign w:val="center"/>
          </w:tcPr>
          <w:p w14:paraId="356000F0" w14:textId="1A27E2BD"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2024</w:t>
            </w:r>
          </w:p>
        </w:tc>
        <w:tc>
          <w:tcPr>
            <w:tcW w:w="748" w:type="dxa"/>
            <w:shd w:val="clear" w:color="auto" w:fill="auto"/>
            <w:noWrap/>
            <w:vAlign w:val="center"/>
          </w:tcPr>
          <w:p w14:paraId="3F10CC3B" w14:textId="073237AB"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2025</w:t>
            </w:r>
          </w:p>
        </w:tc>
        <w:tc>
          <w:tcPr>
            <w:tcW w:w="748" w:type="dxa"/>
            <w:shd w:val="clear" w:color="auto" w:fill="auto"/>
            <w:noWrap/>
            <w:vAlign w:val="center"/>
          </w:tcPr>
          <w:p w14:paraId="0277D37F" w14:textId="2C8E47C8"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2026</w:t>
            </w:r>
          </w:p>
        </w:tc>
        <w:tc>
          <w:tcPr>
            <w:tcW w:w="748" w:type="dxa"/>
            <w:shd w:val="clear" w:color="auto" w:fill="auto"/>
            <w:noWrap/>
            <w:vAlign w:val="center"/>
          </w:tcPr>
          <w:p w14:paraId="49F95D5E" w14:textId="69648105"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2027</w:t>
            </w:r>
          </w:p>
        </w:tc>
        <w:tc>
          <w:tcPr>
            <w:tcW w:w="748" w:type="dxa"/>
            <w:shd w:val="clear" w:color="auto" w:fill="auto"/>
            <w:noWrap/>
            <w:vAlign w:val="center"/>
          </w:tcPr>
          <w:p w14:paraId="7E7FBBC2" w14:textId="4FB693F4"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2028</w:t>
            </w:r>
          </w:p>
        </w:tc>
        <w:tc>
          <w:tcPr>
            <w:tcW w:w="748" w:type="dxa"/>
            <w:shd w:val="clear" w:color="auto" w:fill="auto"/>
            <w:noWrap/>
            <w:vAlign w:val="center"/>
          </w:tcPr>
          <w:p w14:paraId="055305CE" w14:textId="2A56CA23"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2029</w:t>
            </w:r>
          </w:p>
        </w:tc>
        <w:tc>
          <w:tcPr>
            <w:tcW w:w="748" w:type="dxa"/>
            <w:shd w:val="clear" w:color="auto" w:fill="auto"/>
            <w:noWrap/>
            <w:vAlign w:val="center"/>
          </w:tcPr>
          <w:p w14:paraId="5D125AEB" w14:textId="5E957A07"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2030</w:t>
            </w:r>
          </w:p>
        </w:tc>
        <w:tc>
          <w:tcPr>
            <w:tcW w:w="757" w:type="dxa"/>
            <w:shd w:val="clear" w:color="auto" w:fill="auto"/>
            <w:noWrap/>
            <w:vAlign w:val="center"/>
          </w:tcPr>
          <w:p w14:paraId="2436D439" w14:textId="27774C2A"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2031</w:t>
            </w:r>
          </w:p>
        </w:tc>
        <w:tc>
          <w:tcPr>
            <w:tcW w:w="748" w:type="dxa"/>
            <w:shd w:val="clear" w:color="auto" w:fill="auto"/>
            <w:noWrap/>
            <w:vAlign w:val="center"/>
          </w:tcPr>
          <w:p w14:paraId="667842EE" w14:textId="26B1B722"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2032</w:t>
            </w:r>
          </w:p>
        </w:tc>
        <w:tc>
          <w:tcPr>
            <w:tcW w:w="763" w:type="dxa"/>
            <w:shd w:val="clear" w:color="auto" w:fill="auto"/>
            <w:noWrap/>
            <w:vAlign w:val="center"/>
          </w:tcPr>
          <w:p w14:paraId="2EAC9574" w14:textId="6229829C" w:rsidR="001811A0" w:rsidRPr="001D5AE2" w:rsidRDefault="001811A0" w:rsidP="001811A0">
            <w:pPr>
              <w:spacing w:after="0" w:line="240" w:lineRule="auto"/>
              <w:jc w:val="right"/>
              <w:rPr>
                <w:rFonts w:cstheme="minorHAnsi"/>
                <w:b/>
                <w:bCs/>
                <w:sz w:val="15"/>
                <w:szCs w:val="15"/>
              </w:rPr>
            </w:pPr>
            <w:r w:rsidRPr="001D5AE2">
              <w:rPr>
                <w:rFonts w:cstheme="minorHAnsi"/>
                <w:b/>
                <w:bCs/>
                <w:sz w:val="15"/>
                <w:szCs w:val="15"/>
              </w:rPr>
              <w:t>20</w:t>
            </w:r>
            <w:r w:rsidR="00D76DAA" w:rsidRPr="001D5AE2">
              <w:rPr>
                <w:rFonts w:cstheme="minorHAnsi"/>
                <w:b/>
                <w:bCs/>
                <w:sz w:val="15"/>
                <w:szCs w:val="15"/>
              </w:rPr>
              <w:t>33</w:t>
            </w:r>
          </w:p>
        </w:tc>
      </w:tr>
      <w:tr w:rsidR="00856B93" w:rsidRPr="001D5AE2" w14:paraId="32CBA9C3" w14:textId="77777777" w:rsidTr="000C30C2">
        <w:trPr>
          <w:trHeight w:val="288"/>
        </w:trPr>
        <w:tc>
          <w:tcPr>
            <w:tcW w:w="8659" w:type="dxa"/>
            <w:gridSpan w:val="11"/>
            <w:shd w:val="clear" w:color="auto" w:fill="92D050"/>
          </w:tcPr>
          <w:p w14:paraId="2BF3608C" w14:textId="77777777" w:rsidR="00856B93" w:rsidRPr="001D5AE2" w:rsidRDefault="00856B93" w:rsidP="00851A3E">
            <w:pPr>
              <w:spacing w:after="0" w:line="240" w:lineRule="auto"/>
              <w:rPr>
                <w:rFonts w:cstheme="minorHAnsi"/>
                <w:sz w:val="15"/>
                <w:szCs w:val="15"/>
              </w:rPr>
            </w:pPr>
            <w:r w:rsidRPr="001D5AE2">
              <w:rPr>
                <w:rFonts w:cstheme="minorHAnsi"/>
                <w:b/>
                <w:bCs/>
                <w:sz w:val="15"/>
                <w:szCs w:val="15"/>
              </w:rPr>
              <w:t>Domestic Financing</w:t>
            </w:r>
          </w:p>
        </w:tc>
      </w:tr>
      <w:tr w:rsidR="001811A0" w:rsidRPr="001D5AE2" w14:paraId="0736D2E1" w14:textId="77777777" w:rsidTr="001811A0">
        <w:trPr>
          <w:trHeight w:val="288"/>
        </w:trPr>
        <w:tc>
          <w:tcPr>
            <w:tcW w:w="1134" w:type="dxa"/>
            <w:shd w:val="clear" w:color="auto" w:fill="auto"/>
          </w:tcPr>
          <w:p w14:paraId="4A3C5B95" w14:textId="77777777" w:rsidR="001811A0" w:rsidRPr="001D5AE2" w:rsidRDefault="001811A0" w:rsidP="001811A0">
            <w:pPr>
              <w:spacing w:after="0" w:line="240" w:lineRule="auto"/>
              <w:rPr>
                <w:rFonts w:cstheme="minorHAnsi"/>
                <w:sz w:val="15"/>
                <w:szCs w:val="15"/>
              </w:rPr>
            </w:pPr>
            <w:r w:rsidRPr="001D5AE2">
              <w:rPr>
                <w:rFonts w:cstheme="minorHAnsi"/>
                <w:sz w:val="15"/>
                <w:szCs w:val="15"/>
              </w:rPr>
              <w:t>Commercial Bank Loans 1 &lt;&gt; 5 years</w:t>
            </w:r>
          </w:p>
        </w:tc>
        <w:tc>
          <w:tcPr>
            <w:tcW w:w="769" w:type="dxa"/>
            <w:shd w:val="clear" w:color="auto" w:fill="auto"/>
            <w:noWrap/>
            <w:hideMark/>
          </w:tcPr>
          <w:p w14:paraId="08923062" w14:textId="3C98DC07" w:rsidR="001811A0" w:rsidRPr="001D5AE2" w:rsidRDefault="001811A0" w:rsidP="001811A0">
            <w:pPr>
              <w:spacing w:after="0" w:line="240" w:lineRule="auto"/>
              <w:jc w:val="right"/>
              <w:rPr>
                <w:sz w:val="15"/>
                <w:szCs w:val="15"/>
              </w:rPr>
            </w:pPr>
            <w:r w:rsidRPr="001D5AE2">
              <w:rPr>
                <w:sz w:val="15"/>
                <w:szCs w:val="15"/>
              </w:rPr>
              <w:t>11,187.7</w:t>
            </w:r>
          </w:p>
        </w:tc>
        <w:tc>
          <w:tcPr>
            <w:tcW w:w="748" w:type="dxa"/>
            <w:shd w:val="clear" w:color="auto" w:fill="auto"/>
            <w:noWrap/>
            <w:hideMark/>
          </w:tcPr>
          <w:p w14:paraId="6B56DD7D" w14:textId="13327A77"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7E7C05F5" w14:textId="5A45A1DF" w:rsidR="001811A0" w:rsidRPr="001D5AE2" w:rsidRDefault="001811A0" w:rsidP="001811A0">
            <w:pPr>
              <w:spacing w:after="0" w:line="240" w:lineRule="auto"/>
              <w:jc w:val="right"/>
              <w:rPr>
                <w:sz w:val="15"/>
                <w:szCs w:val="15"/>
              </w:rPr>
            </w:pPr>
            <w:r w:rsidRPr="001D5AE2">
              <w:rPr>
                <w:sz w:val="15"/>
                <w:szCs w:val="15"/>
              </w:rPr>
              <w:t>16,194.3</w:t>
            </w:r>
          </w:p>
        </w:tc>
        <w:tc>
          <w:tcPr>
            <w:tcW w:w="748" w:type="dxa"/>
            <w:shd w:val="clear" w:color="auto" w:fill="auto"/>
            <w:noWrap/>
            <w:hideMark/>
          </w:tcPr>
          <w:p w14:paraId="76FD8A73" w14:textId="44A1AB92"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77B5671E" w14:textId="6EE47D72"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0541E828" w14:textId="6F8C1467" w:rsidR="001811A0" w:rsidRPr="001D5AE2" w:rsidRDefault="001811A0" w:rsidP="001811A0">
            <w:pPr>
              <w:spacing w:after="0" w:line="240" w:lineRule="auto"/>
              <w:jc w:val="right"/>
              <w:rPr>
                <w:sz w:val="15"/>
                <w:szCs w:val="15"/>
              </w:rPr>
            </w:pPr>
            <w:r w:rsidRPr="001D5AE2">
              <w:rPr>
                <w:sz w:val="15"/>
                <w:szCs w:val="15"/>
              </w:rPr>
              <w:t>8,599.9</w:t>
            </w:r>
          </w:p>
        </w:tc>
        <w:tc>
          <w:tcPr>
            <w:tcW w:w="748" w:type="dxa"/>
            <w:shd w:val="clear" w:color="auto" w:fill="auto"/>
            <w:noWrap/>
            <w:hideMark/>
          </w:tcPr>
          <w:p w14:paraId="4C73FC8E" w14:textId="17CF96A7" w:rsidR="001811A0" w:rsidRPr="001D5AE2" w:rsidRDefault="001811A0" w:rsidP="001811A0">
            <w:pPr>
              <w:spacing w:after="0" w:line="240" w:lineRule="auto"/>
              <w:jc w:val="right"/>
              <w:rPr>
                <w:sz w:val="15"/>
                <w:szCs w:val="15"/>
              </w:rPr>
            </w:pPr>
            <w:r w:rsidRPr="001D5AE2">
              <w:rPr>
                <w:sz w:val="15"/>
                <w:szCs w:val="15"/>
              </w:rPr>
              <w:t>0.0</w:t>
            </w:r>
          </w:p>
        </w:tc>
        <w:tc>
          <w:tcPr>
            <w:tcW w:w="757" w:type="dxa"/>
            <w:shd w:val="clear" w:color="auto" w:fill="auto"/>
            <w:noWrap/>
            <w:hideMark/>
          </w:tcPr>
          <w:p w14:paraId="18ACAC01" w14:textId="71DB158E" w:rsidR="001811A0" w:rsidRPr="001D5AE2" w:rsidRDefault="001811A0" w:rsidP="001811A0">
            <w:pPr>
              <w:spacing w:after="0" w:line="240" w:lineRule="auto"/>
              <w:jc w:val="right"/>
              <w:rPr>
                <w:sz w:val="15"/>
                <w:szCs w:val="15"/>
              </w:rPr>
            </w:pPr>
            <w:r w:rsidRPr="001D5AE2">
              <w:rPr>
                <w:sz w:val="15"/>
                <w:szCs w:val="15"/>
              </w:rPr>
              <w:t>7,651.3</w:t>
            </w:r>
          </w:p>
        </w:tc>
        <w:tc>
          <w:tcPr>
            <w:tcW w:w="748" w:type="dxa"/>
            <w:shd w:val="clear" w:color="auto" w:fill="auto"/>
            <w:noWrap/>
            <w:hideMark/>
          </w:tcPr>
          <w:p w14:paraId="334F62BA" w14:textId="5A65ADDF" w:rsidR="001811A0" w:rsidRPr="001D5AE2" w:rsidRDefault="001811A0" w:rsidP="001811A0">
            <w:pPr>
              <w:spacing w:after="0" w:line="240" w:lineRule="auto"/>
              <w:jc w:val="right"/>
              <w:rPr>
                <w:sz w:val="15"/>
                <w:szCs w:val="15"/>
              </w:rPr>
            </w:pPr>
            <w:r w:rsidRPr="001D5AE2">
              <w:rPr>
                <w:sz w:val="15"/>
                <w:szCs w:val="15"/>
              </w:rPr>
              <w:t>0.0</w:t>
            </w:r>
          </w:p>
        </w:tc>
        <w:tc>
          <w:tcPr>
            <w:tcW w:w="763" w:type="dxa"/>
            <w:shd w:val="clear" w:color="auto" w:fill="auto"/>
            <w:noWrap/>
            <w:hideMark/>
          </w:tcPr>
          <w:p w14:paraId="078B5489" w14:textId="79092A30" w:rsidR="001811A0" w:rsidRPr="001D5AE2" w:rsidRDefault="001811A0" w:rsidP="001811A0">
            <w:pPr>
              <w:spacing w:after="0" w:line="240" w:lineRule="auto"/>
              <w:jc w:val="right"/>
              <w:rPr>
                <w:sz w:val="15"/>
                <w:szCs w:val="15"/>
              </w:rPr>
            </w:pPr>
            <w:r w:rsidRPr="001D5AE2">
              <w:rPr>
                <w:sz w:val="15"/>
                <w:szCs w:val="15"/>
              </w:rPr>
              <w:t>13,884.9</w:t>
            </w:r>
          </w:p>
        </w:tc>
      </w:tr>
      <w:tr w:rsidR="001811A0" w:rsidRPr="001D5AE2" w14:paraId="35D137AF" w14:textId="77777777" w:rsidTr="001811A0">
        <w:trPr>
          <w:trHeight w:val="288"/>
        </w:trPr>
        <w:tc>
          <w:tcPr>
            <w:tcW w:w="1134" w:type="dxa"/>
            <w:shd w:val="clear" w:color="auto" w:fill="auto"/>
          </w:tcPr>
          <w:p w14:paraId="5D44C3AC" w14:textId="77777777" w:rsidR="001811A0" w:rsidRPr="001D5AE2" w:rsidRDefault="001811A0" w:rsidP="001811A0">
            <w:pPr>
              <w:spacing w:after="0" w:line="240" w:lineRule="auto"/>
              <w:rPr>
                <w:rFonts w:cstheme="minorHAnsi"/>
                <w:sz w:val="15"/>
                <w:szCs w:val="15"/>
              </w:rPr>
            </w:pPr>
            <w:r w:rsidRPr="001D5AE2">
              <w:rPr>
                <w:rFonts w:cstheme="minorHAnsi"/>
                <w:sz w:val="15"/>
                <w:szCs w:val="15"/>
              </w:rPr>
              <w:t>Commercial Bank Loans - 6 years &gt;</w:t>
            </w:r>
          </w:p>
        </w:tc>
        <w:tc>
          <w:tcPr>
            <w:tcW w:w="769" w:type="dxa"/>
            <w:shd w:val="clear" w:color="auto" w:fill="auto"/>
            <w:noWrap/>
            <w:hideMark/>
          </w:tcPr>
          <w:p w14:paraId="321397B2" w14:textId="12F52C54"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34AF44F5" w14:textId="6D30E790"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42F534CF" w14:textId="44EC9B7B"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53F7BFD1" w14:textId="09DEB2D0"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62868DDD" w14:textId="772D95D7"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5EFD486D" w14:textId="15C65BB1"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35D06214" w14:textId="3D33C4C8" w:rsidR="001811A0" w:rsidRPr="001D5AE2" w:rsidRDefault="001811A0" w:rsidP="001811A0">
            <w:pPr>
              <w:spacing w:after="0" w:line="240" w:lineRule="auto"/>
              <w:jc w:val="right"/>
              <w:rPr>
                <w:sz w:val="15"/>
                <w:szCs w:val="15"/>
              </w:rPr>
            </w:pPr>
            <w:r w:rsidRPr="001D5AE2">
              <w:rPr>
                <w:sz w:val="15"/>
                <w:szCs w:val="15"/>
              </w:rPr>
              <w:t>0.0</w:t>
            </w:r>
          </w:p>
        </w:tc>
        <w:tc>
          <w:tcPr>
            <w:tcW w:w="757" w:type="dxa"/>
            <w:shd w:val="clear" w:color="auto" w:fill="auto"/>
            <w:noWrap/>
            <w:hideMark/>
          </w:tcPr>
          <w:p w14:paraId="164F62FF" w14:textId="52FCECCC"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7E95A048" w14:textId="6100FA16" w:rsidR="001811A0" w:rsidRPr="001D5AE2" w:rsidRDefault="001811A0" w:rsidP="001811A0">
            <w:pPr>
              <w:spacing w:after="0" w:line="240" w:lineRule="auto"/>
              <w:jc w:val="right"/>
              <w:rPr>
                <w:sz w:val="15"/>
                <w:szCs w:val="15"/>
              </w:rPr>
            </w:pPr>
            <w:r w:rsidRPr="001D5AE2">
              <w:rPr>
                <w:sz w:val="15"/>
                <w:szCs w:val="15"/>
              </w:rPr>
              <w:t>0.0</w:t>
            </w:r>
          </w:p>
        </w:tc>
        <w:tc>
          <w:tcPr>
            <w:tcW w:w="763" w:type="dxa"/>
            <w:shd w:val="clear" w:color="auto" w:fill="auto"/>
            <w:noWrap/>
            <w:hideMark/>
          </w:tcPr>
          <w:p w14:paraId="4D32ED94" w14:textId="42F77D56" w:rsidR="001811A0" w:rsidRPr="001D5AE2" w:rsidRDefault="001811A0" w:rsidP="001811A0">
            <w:pPr>
              <w:spacing w:after="0" w:line="240" w:lineRule="auto"/>
              <w:jc w:val="right"/>
              <w:rPr>
                <w:sz w:val="15"/>
                <w:szCs w:val="15"/>
              </w:rPr>
            </w:pPr>
            <w:r w:rsidRPr="001D5AE2">
              <w:rPr>
                <w:sz w:val="15"/>
                <w:szCs w:val="15"/>
              </w:rPr>
              <w:t>0.0</w:t>
            </w:r>
          </w:p>
        </w:tc>
      </w:tr>
      <w:tr w:rsidR="001811A0" w:rsidRPr="001D5AE2" w14:paraId="5EA36234" w14:textId="77777777" w:rsidTr="001811A0">
        <w:trPr>
          <w:trHeight w:val="288"/>
        </w:trPr>
        <w:tc>
          <w:tcPr>
            <w:tcW w:w="1134" w:type="dxa"/>
            <w:shd w:val="clear" w:color="auto" w:fill="auto"/>
          </w:tcPr>
          <w:p w14:paraId="36520426" w14:textId="77777777" w:rsidR="001811A0" w:rsidRPr="001D5AE2" w:rsidRDefault="001811A0" w:rsidP="001811A0">
            <w:pPr>
              <w:spacing w:after="0" w:line="240" w:lineRule="auto"/>
              <w:rPr>
                <w:rFonts w:cstheme="minorHAnsi"/>
                <w:sz w:val="15"/>
                <w:szCs w:val="15"/>
              </w:rPr>
            </w:pPr>
            <w:r w:rsidRPr="001D5AE2">
              <w:rPr>
                <w:rFonts w:cstheme="minorHAnsi"/>
                <w:sz w:val="15"/>
                <w:szCs w:val="15"/>
              </w:rPr>
              <w:t>State Bonds - 1 &lt;&gt; 5 years)</w:t>
            </w:r>
          </w:p>
        </w:tc>
        <w:tc>
          <w:tcPr>
            <w:tcW w:w="769" w:type="dxa"/>
            <w:shd w:val="clear" w:color="auto" w:fill="auto"/>
            <w:noWrap/>
            <w:hideMark/>
          </w:tcPr>
          <w:p w14:paraId="0375FBE7" w14:textId="5553B6D1"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604D7514" w14:textId="1E7078B9" w:rsidR="001811A0" w:rsidRPr="001D5AE2" w:rsidRDefault="001811A0" w:rsidP="001811A0">
            <w:pPr>
              <w:spacing w:after="0" w:line="240" w:lineRule="auto"/>
              <w:jc w:val="right"/>
              <w:rPr>
                <w:sz w:val="15"/>
                <w:szCs w:val="15"/>
              </w:rPr>
            </w:pPr>
            <w:r w:rsidRPr="001D5AE2">
              <w:rPr>
                <w:sz w:val="15"/>
                <w:szCs w:val="15"/>
              </w:rPr>
              <w:t>16,460.6</w:t>
            </w:r>
          </w:p>
        </w:tc>
        <w:tc>
          <w:tcPr>
            <w:tcW w:w="748" w:type="dxa"/>
            <w:shd w:val="clear" w:color="auto" w:fill="auto"/>
            <w:noWrap/>
            <w:hideMark/>
          </w:tcPr>
          <w:p w14:paraId="169167E5" w14:textId="71C9E7F7"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634B77AF" w14:textId="26DF6F98"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613B56F4" w14:textId="08344412"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3C83BB70" w14:textId="7BECFE49"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24BA87A3" w14:textId="46D20BDA" w:rsidR="001811A0" w:rsidRPr="001D5AE2" w:rsidRDefault="001811A0" w:rsidP="001811A0">
            <w:pPr>
              <w:spacing w:after="0" w:line="240" w:lineRule="auto"/>
              <w:jc w:val="right"/>
              <w:rPr>
                <w:sz w:val="15"/>
                <w:szCs w:val="15"/>
              </w:rPr>
            </w:pPr>
            <w:r w:rsidRPr="001D5AE2">
              <w:rPr>
                <w:sz w:val="15"/>
                <w:szCs w:val="15"/>
              </w:rPr>
              <w:t>15,972.0</w:t>
            </w:r>
          </w:p>
        </w:tc>
        <w:tc>
          <w:tcPr>
            <w:tcW w:w="757" w:type="dxa"/>
            <w:shd w:val="clear" w:color="auto" w:fill="auto"/>
            <w:noWrap/>
            <w:hideMark/>
          </w:tcPr>
          <w:p w14:paraId="22F24ACA" w14:textId="2102A08D"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442BE14D" w14:textId="3B608E6E" w:rsidR="001811A0" w:rsidRPr="001D5AE2" w:rsidRDefault="001811A0" w:rsidP="001811A0">
            <w:pPr>
              <w:spacing w:after="0" w:line="240" w:lineRule="auto"/>
              <w:jc w:val="right"/>
              <w:rPr>
                <w:sz w:val="15"/>
                <w:szCs w:val="15"/>
              </w:rPr>
            </w:pPr>
            <w:r w:rsidRPr="001D5AE2">
              <w:rPr>
                <w:sz w:val="15"/>
                <w:szCs w:val="15"/>
              </w:rPr>
              <w:t>15,017.8</w:t>
            </w:r>
          </w:p>
        </w:tc>
        <w:tc>
          <w:tcPr>
            <w:tcW w:w="763" w:type="dxa"/>
            <w:shd w:val="clear" w:color="auto" w:fill="auto"/>
            <w:noWrap/>
            <w:hideMark/>
          </w:tcPr>
          <w:p w14:paraId="626F3078" w14:textId="2819F487" w:rsidR="001811A0" w:rsidRPr="001D5AE2" w:rsidRDefault="001811A0" w:rsidP="001811A0">
            <w:pPr>
              <w:spacing w:after="0" w:line="240" w:lineRule="auto"/>
              <w:jc w:val="right"/>
              <w:rPr>
                <w:sz w:val="15"/>
                <w:szCs w:val="15"/>
              </w:rPr>
            </w:pPr>
            <w:r w:rsidRPr="001D5AE2">
              <w:rPr>
                <w:sz w:val="15"/>
                <w:szCs w:val="15"/>
              </w:rPr>
              <w:t>0.0</w:t>
            </w:r>
          </w:p>
        </w:tc>
      </w:tr>
      <w:tr w:rsidR="001811A0" w:rsidRPr="001D5AE2" w14:paraId="23902FA1" w14:textId="77777777" w:rsidTr="001811A0">
        <w:trPr>
          <w:trHeight w:val="288"/>
        </w:trPr>
        <w:tc>
          <w:tcPr>
            <w:tcW w:w="1134" w:type="dxa"/>
            <w:shd w:val="clear" w:color="auto" w:fill="auto"/>
          </w:tcPr>
          <w:p w14:paraId="3CFB5356" w14:textId="77777777" w:rsidR="001811A0" w:rsidRPr="001D5AE2" w:rsidRDefault="001811A0" w:rsidP="001811A0">
            <w:pPr>
              <w:spacing w:after="0" w:line="240" w:lineRule="auto"/>
              <w:rPr>
                <w:rFonts w:cstheme="minorHAnsi"/>
                <w:sz w:val="15"/>
                <w:szCs w:val="15"/>
              </w:rPr>
            </w:pPr>
            <w:r w:rsidRPr="001D5AE2">
              <w:rPr>
                <w:rFonts w:cstheme="minorHAnsi"/>
                <w:sz w:val="15"/>
                <w:szCs w:val="15"/>
              </w:rPr>
              <w:t>State Bonds - 6 years &gt;</w:t>
            </w:r>
          </w:p>
        </w:tc>
        <w:tc>
          <w:tcPr>
            <w:tcW w:w="769" w:type="dxa"/>
            <w:shd w:val="clear" w:color="auto" w:fill="auto"/>
            <w:noWrap/>
            <w:hideMark/>
          </w:tcPr>
          <w:p w14:paraId="10B8DA0B" w14:textId="0D7983C4"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1E919CA2" w14:textId="41F4CA75"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5332B503" w14:textId="2F5A9D46"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5B571CD7" w14:textId="1CAA555C" w:rsidR="001811A0" w:rsidRPr="001D5AE2" w:rsidRDefault="001811A0" w:rsidP="001811A0">
            <w:pPr>
              <w:spacing w:after="0" w:line="240" w:lineRule="auto"/>
              <w:jc w:val="right"/>
              <w:rPr>
                <w:sz w:val="15"/>
                <w:szCs w:val="15"/>
              </w:rPr>
            </w:pPr>
            <w:r w:rsidRPr="001D5AE2">
              <w:rPr>
                <w:sz w:val="15"/>
                <w:szCs w:val="15"/>
              </w:rPr>
              <w:t>17,416.0</w:t>
            </w:r>
          </w:p>
        </w:tc>
        <w:tc>
          <w:tcPr>
            <w:tcW w:w="748" w:type="dxa"/>
            <w:shd w:val="clear" w:color="auto" w:fill="auto"/>
            <w:noWrap/>
            <w:hideMark/>
          </w:tcPr>
          <w:p w14:paraId="37FA3B66" w14:textId="0FFBEEFF"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15C582FC" w14:textId="2A8D962A"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553EC999" w14:textId="1F9D5399" w:rsidR="001811A0" w:rsidRPr="001D5AE2" w:rsidRDefault="001811A0" w:rsidP="001811A0">
            <w:pPr>
              <w:spacing w:after="0" w:line="240" w:lineRule="auto"/>
              <w:jc w:val="right"/>
              <w:rPr>
                <w:sz w:val="15"/>
                <w:szCs w:val="15"/>
              </w:rPr>
            </w:pPr>
            <w:r w:rsidRPr="001D5AE2">
              <w:rPr>
                <w:sz w:val="15"/>
                <w:szCs w:val="15"/>
              </w:rPr>
              <w:t>0.0</w:t>
            </w:r>
          </w:p>
        </w:tc>
        <w:tc>
          <w:tcPr>
            <w:tcW w:w="757" w:type="dxa"/>
            <w:shd w:val="clear" w:color="auto" w:fill="auto"/>
            <w:noWrap/>
            <w:hideMark/>
          </w:tcPr>
          <w:p w14:paraId="64C8DA6E" w14:textId="2906BE5A"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0870A4BA" w14:textId="4D9D95BC" w:rsidR="001811A0" w:rsidRPr="001D5AE2" w:rsidRDefault="001811A0" w:rsidP="001811A0">
            <w:pPr>
              <w:spacing w:after="0" w:line="240" w:lineRule="auto"/>
              <w:jc w:val="right"/>
              <w:rPr>
                <w:sz w:val="15"/>
                <w:szCs w:val="15"/>
              </w:rPr>
            </w:pPr>
            <w:r w:rsidRPr="001D5AE2">
              <w:rPr>
                <w:sz w:val="15"/>
                <w:szCs w:val="15"/>
              </w:rPr>
              <w:t>0.0</w:t>
            </w:r>
          </w:p>
        </w:tc>
        <w:tc>
          <w:tcPr>
            <w:tcW w:w="763" w:type="dxa"/>
            <w:shd w:val="clear" w:color="auto" w:fill="auto"/>
            <w:noWrap/>
            <w:hideMark/>
          </w:tcPr>
          <w:p w14:paraId="646C2339" w14:textId="059AAFBC" w:rsidR="001811A0" w:rsidRPr="001D5AE2" w:rsidRDefault="001811A0" w:rsidP="001811A0">
            <w:pPr>
              <w:spacing w:after="0" w:line="240" w:lineRule="auto"/>
              <w:jc w:val="right"/>
              <w:rPr>
                <w:sz w:val="15"/>
                <w:szCs w:val="15"/>
              </w:rPr>
            </w:pPr>
            <w:r w:rsidRPr="001D5AE2">
              <w:rPr>
                <w:sz w:val="15"/>
                <w:szCs w:val="15"/>
              </w:rPr>
              <w:t>0.0</w:t>
            </w:r>
          </w:p>
        </w:tc>
      </w:tr>
      <w:tr w:rsidR="001811A0" w:rsidRPr="001D5AE2" w14:paraId="3377003F" w14:textId="77777777" w:rsidTr="001811A0">
        <w:trPr>
          <w:trHeight w:val="288"/>
        </w:trPr>
        <w:tc>
          <w:tcPr>
            <w:tcW w:w="1134" w:type="dxa"/>
            <w:shd w:val="clear" w:color="auto" w:fill="auto"/>
          </w:tcPr>
          <w:p w14:paraId="6D7FF8DF" w14:textId="77777777" w:rsidR="001811A0" w:rsidRPr="001D5AE2" w:rsidRDefault="001811A0" w:rsidP="001811A0">
            <w:pPr>
              <w:spacing w:after="0" w:line="240" w:lineRule="auto"/>
              <w:rPr>
                <w:rFonts w:cstheme="minorHAnsi"/>
                <w:sz w:val="15"/>
                <w:szCs w:val="15"/>
              </w:rPr>
            </w:pPr>
            <w:r w:rsidRPr="001D5AE2">
              <w:rPr>
                <w:rFonts w:cstheme="minorHAnsi"/>
                <w:sz w:val="15"/>
                <w:szCs w:val="15"/>
              </w:rPr>
              <w:t>Other Domestic Financing</w:t>
            </w:r>
          </w:p>
        </w:tc>
        <w:tc>
          <w:tcPr>
            <w:tcW w:w="769" w:type="dxa"/>
            <w:shd w:val="clear" w:color="auto" w:fill="auto"/>
            <w:noWrap/>
            <w:hideMark/>
          </w:tcPr>
          <w:p w14:paraId="617B647E" w14:textId="348D4A0F" w:rsidR="001811A0" w:rsidRPr="001D5AE2" w:rsidRDefault="001811A0" w:rsidP="001811A0">
            <w:pPr>
              <w:spacing w:after="0" w:line="240" w:lineRule="auto"/>
              <w:jc w:val="right"/>
              <w:rPr>
                <w:sz w:val="15"/>
                <w:szCs w:val="15"/>
              </w:rPr>
            </w:pPr>
            <w:r w:rsidRPr="001D5AE2">
              <w:rPr>
                <w:sz w:val="15"/>
                <w:szCs w:val="15"/>
              </w:rPr>
              <w:t>18,835.2</w:t>
            </w:r>
          </w:p>
        </w:tc>
        <w:tc>
          <w:tcPr>
            <w:tcW w:w="748" w:type="dxa"/>
            <w:shd w:val="clear" w:color="auto" w:fill="auto"/>
            <w:noWrap/>
            <w:hideMark/>
          </w:tcPr>
          <w:p w14:paraId="55CB1BC0" w14:textId="7606359D" w:rsidR="001811A0" w:rsidRPr="001D5AE2" w:rsidRDefault="001811A0" w:rsidP="001811A0">
            <w:pPr>
              <w:spacing w:after="0" w:line="240" w:lineRule="auto"/>
              <w:jc w:val="right"/>
              <w:rPr>
                <w:sz w:val="15"/>
                <w:szCs w:val="15"/>
              </w:rPr>
            </w:pPr>
            <w:r w:rsidRPr="001D5AE2">
              <w:rPr>
                <w:sz w:val="15"/>
                <w:szCs w:val="15"/>
              </w:rPr>
              <w:t>10,700.0</w:t>
            </w:r>
          </w:p>
        </w:tc>
        <w:tc>
          <w:tcPr>
            <w:tcW w:w="748" w:type="dxa"/>
            <w:shd w:val="clear" w:color="auto" w:fill="auto"/>
            <w:noWrap/>
            <w:hideMark/>
          </w:tcPr>
          <w:p w14:paraId="6BF476C1" w14:textId="2AD0A717" w:rsidR="001811A0" w:rsidRPr="001D5AE2" w:rsidRDefault="001811A0" w:rsidP="001811A0">
            <w:pPr>
              <w:spacing w:after="0" w:line="240" w:lineRule="auto"/>
              <w:jc w:val="right"/>
              <w:rPr>
                <w:sz w:val="15"/>
                <w:szCs w:val="15"/>
              </w:rPr>
            </w:pPr>
            <w:r w:rsidRPr="001D5AE2">
              <w:rPr>
                <w:sz w:val="15"/>
                <w:szCs w:val="15"/>
              </w:rPr>
              <w:t>6,950.0</w:t>
            </w:r>
          </w:p>
        </w:tc>
        <w:tc>
          <w:tcPr>
            <w:tcW w:w="748" w:type="dxa"/>
            <w:shd w:val="clear" w:color="auto" w:fill="auto"/>
            <w:noWrap/>
            <w:hideMark/>
          </w:tcPr>
          <w:p w14:paraId="1C7CBA6F" w14:textId="191EDC1D"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7808F296" w14:textId="1D31C253" w:rsidR="001811A0" w:rsidRPr="001D5AE2" w:rsidRDefault="001811A0" w:rsidP="001811A0">
            <w:pPr>
              <w:spacing w:after="0" w:line="240" w:lineRule="auto"/>
              <w:jc w:val="right"/>
              <w:rPr>
                <w:sz w:val="15"/>
                <w:szCs w:val="15"/>
              </w:rPr>
            </w:pPr>
            <w:r w:rsidRPr="001D5AE2">
              <w:rPr>
                <w:sz w:val="15"/>
                <w:szCs w:val="15"/>
              </w:rPr>
              <w:t>19,476.1</w:t>
            </w:r>
          </w:p>
        </w:tc>
        <w:tc>
          <w:tcPr>
            <w:tcW w:w="748" w:type="dxa"/>
            <w:shd w:val="clear" w:color="auto" w:fill="auto"/>
            <w:noWrap/>
            <w:hideMark/>
          </w:tcPr>
          <w:p w14:paraId="0A4F6286" w14:textId="1841F2F1" w:rsidR="001811A0" w:rsidRPr="001D5AE2" w:rsidRDefault="001811A0" w:rsidP="001811A0">
            <w:pPr>
              <w:spacing w:after="0" w:line="240" w:lineRule="auto"/>
              <w:jc w:val="right"/>
              <w:rPr>
                <w:sz w:val="15"/>
                <w:szCs w:val="15"/>
              </w:rPr>
            </w:pPr>
            <w:r w:rsidRPr="001D5AE2">
              <w:rPr>
                <w:sz w:val="15"/>
                <w:szCs w:val="15"/>
              </w:rPr>
              <w:t>0.0</w:t>
            </w:r>
          </w:p>
        </w:tc>
        <w:tc>
          <w:tcPr>
            <w:tcW w:w="748" w:type="dxa"/>
            <w:shd w:val="clear" w:color="auto" w:fill="auto"/>
            <w:noWrap/>
            <w:hideMark/>
          </w:tcPr>
          <w:p w14:paraId="2283763D" w14:textId="079686CF" w:rsidR="001811A0" w:rsidRPr="001D5AE2" w:rsidRDefault="001811A0" w:rsidP="001811A0">
            <w:pPr>
              <w:spacing w:after="0" w:line="240" w:lineRule="auto"/>
              <w:jc w:val="right"/>
              <w:rPr>
                <w:sz w:val="15"/>
                <w:szCs w:val="15"/>
              </w:rPr>
            </w:pPr>
            <w:r w:rsidRPr="001D5AE2">
              <w:rPr>
                <w:sz w:val="15"/>
                <w:szCs w:val="15"/>
              </w:rPr>
              <w:t>19,780.9</w:t>
            </w:r>
          </w:p>
        </w:tc>
        <w:tc>
          <w:tcPr>
            <w:tcW w:w="757" w:type="dxa"/>
            <w:shd w:val="clear" w:color="auto" w:fill="auto"/>
            <w:noWrap/>
            <w:hideMark/>
          </w:tcPr>
          <w:p w14:paraId="285BC78C" w14:textId="07F166F6" w:rsidR="001811A0" w:rsidRPr="001D5AE2" w:rsidRDefault="001811A0" w:rsidP="001811A0">
            <w:pPr>
              <w:spacing w:after="0" w:line="240" w:lineRule="auto"/>
              <w:jc w:val="right"/>
              <w:rPr>
                <w:sz w:val="15"/>
                <w:szCs w:val="15"/>
              </w:rPr>
            </w:pPr>
            <w:r w:rsidRPr="001D5AE2">
              <w:rPr>
                <w:sz w:val="15"/>
                <w:szCs w:val="15"/>
              </w:rPr>
              <w:t>18,264.9</w:t>
            </w:r>
          </w:p>
        </w:tc>
        <w:tc>
          <w:tcPr>
            <w:tcW w:w="748" w:type="dxa"/>
            <w:shd w:val="clear" w:color="auto" w:fill="auto"/>
            <w:noWrap/>
            <w:hideMark/>
          </w:tcPr>
          <w:p w14:paraId="640300FA" w14:textId="6884DDB2" w:rsidR="001811A0" w:rsidRPr="001D5AE2" w:rsidRDefault="001811A0" w:rsidP="001811A0">
            <w:pPr>
              <w:spacing w:after="0" w:line="240" w:lineRule="auto"/>
              <w:jc w:val="right"/>
              <w:rPr>
                <w:sz w:val="15"/>
                <w:szCs w:val="15"/>
              </w:rPr>
            </w:pPr>
            <w:r w:rsidRPr="001D5AE2">
              <w:rPr>
                <w:sz w:val="15"/>
                <w:szCs w:val="15"/>
              </w:rPr>
              <w:t>19,082.9</w:t>
            </w:r>
          </w:p>
        </w:tc>
        <w:tc>
          <w:tcPr>
            <w:tcW w:w="763" w:type="dxa"/>
            <w:shd w:val="clear" w:color="auto" w:fill="auto"/>
            <w:noWrap/>
            <w:hideMark/>
          </w:tcPr>
          <w:p w14:paraId="62495CB9" w14:textId="64CB4C24" w:rsidR="001811A0" w:rsidRPr="001D5AE2" w:rsidRDefault="001811A0" w:rsidP="001811A0">
            <w:pPr>
              <w:spacing w:after="0" w:line="240" w:lineRule="auto"/>
              <w:jc w:val="right"/>
              <w:rPr>
                <w:sz w:val="15"/>
                <w:szCs w:val="15"/>
              </w:rPr>
            </w:pPr>
            <w:r w:rsidRPr="001D5AE2">
              <w:rPr>
                <w:sz w:val="15"/>
                <w:szCs w:val="15"/>
              </w:rPr>
              <w:t>13,197.7</w:t>
            </w:r>
          </w:p>
        </w:tc>
      </w:tr>
      <w:tr w:rsidR="00856B93" w:rsidRPr="001D5AE2" w14:paraId="367D014B" w14:textId="77777777" w:rsidTr="000C30C2">
        <w:trPr>
          <w:trHeight w:val="288"/>
        </w:trPr>
        <w:tc>
          <w:tcPr>
            <w:tcW w:w="8659" w:type="dxa"/>
            <w:gridSpan w:val="11"/>
            <w:shd w:val="clear" w:color="auto" w:fill="92D050"/>
            <w:vAlign w:val="center"/>
          </w:tcPr>
          <w:p w14:paraId="57ECE794" w14:textId="77CD7550" w:rsidR="00856B93" w:rsidRPr="001D5AE2" w:rsidRDefault="00FB669D" w:rsidP="00851A3E">
            <w:pPr>
              <w:spacing w:after="0" w:line="240" w:lineRule="auto"/>
              <w:rPr>
                <w:rFonts w:cstheme="minorHAnsi"/>
                <w:sz w:val="15"/>
                <w:szCs w:val="15"/>
              </w:rPr>
            </w:pPr>
            <w:r w:rsidRPr="001D5AE2">
              <w:rPr>
                <w:rFonts w:cstheme="minorHAnsi"/>
                <w:b/>
                <w:bCs/>
                <w:sz w:val="15"/>
                <w:szCs w:val="15"/>
              </w:rPr>
              <w:t>External</w:t>
            </w:r>
            <w:r w:rsidR="00856B93" w:rsidRPr="001D5AE2">
              <w:rPr>
                <w:rFonts w:cstheme="minorHAnsi"/>
                <w:b/>
                <w:bCs/>
                <w:sz w:val="15"/>
                <w:szCs w:val="15"/>
              </w:rPr>
              <w:t xml:space="preserve"> Financing</w:t>
            </w:r>
          </w:p>
        </w:tc>
      </w:tr>
      <w:tr w:rsidR="003178D9" w:rsidRPr="001D5AE2" w14:paraId="1B1B67C9" w14:textId="77777777" w:rsidTr="00D76DAA">
        <w:trPr>
          <w:trHeight w:val="288"/>
        </w:trPr>
        <w:tc>
          <w:tcPr>
            <w:tcW w:w="1134" w:type="dxa"/>
            <w:shd w:val="clear" w:color="auto" w:fill="auto"/>
            <w:vAlign w:val="center"/>
          </w:tcPr>
          <w:p w14:paraId="74A75CA1" w14:textId="77777777" w:rsidR="003178D9" w:rsidRPr="001D5AE2" w:rsidRDefault="003178D9" w:rsidP="003178D9">
            <w:pPr>
              <w:spacing w:after="0" w:line="240" w:lineRule="auto"/>
              <w:rPr>
                <w:rFonts w:cstheme="minorHAnsi"/>
                <w:sz w:val="15"/>
                <w:szCs w:val="15"/>
              </w:rPr>
            </w:pPr>
            <w:r w:rsidRPr="001D5AE2">
              <w:rPr>
                <w:rFonts w:eastAsia="Times New Roman" w:cstheme="minorHAnsi"/>
                <w:color w:val="000000"/>
                <w:sz w:val="15"/>
                <w:szCs w:val="15"/>
              </w:rPr>
              <w:t>External Financing - Concessional Loans (e.g., WB, AfDB)</w:t>
            </w:r>
          </w:p>
        </w:tc>
        <w:tc>
          <w:tcPr>
            <w:tcW w:w="769" w:type="dxa"/>
            <w:shd w:val="clear" w:color="auto" w:fill="auto"/>
            <w:noWrap/>
          </w:tcPr>
          <w:p w14:paraId="53998A24" w14:textId="272C9600" w:rsidR="003178D9" w:rsidRPr="001D5AE2" w:rsidRDefault="003178D9" w:rsidP="003178D9">
            <w:pPr>
              <w:spacing w:after="0" w:line="240" w:lineRule="auto"/>
              <w:jc w:val="right"/>
              <w:rPr>
                <w:sz w:val="15"/>
                <w:szCs w:val="15"/>
              </w:rPr>
            </w:pPr>
            <w:r w:rsidRPr="001D5AE2">
              <w:rPr>
                <w:sz w:val="15"/>
                <w:szCs w:val="15"/>
              </w:rPr>
              <w:t>5.1</w:t>
            </w:r>
          </w:p>
        </w:tc>
        <w:tc>
          <w:tcPr>
            <w:tcW w:w="748" w:type="dxa"/>
            <w:shd w:val="clear" w:color="auto" w:fill="auto"/>
            <w:noWrap/>
          </w:tcPr>
          <w:p w14:paraId="44557872" w14:textId="748351D8"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1DFA8070" w14:textId="6CE7AF1F" w:rsidR="003178D9" w:rsidRPr="001D5AE2" w:rsidRDefault="003178D9" w:rsidP="003178D9">
            <w:pPr>
              <w:spacing w:after="0" w:line="240" w:lineRule="auto"/>
              <w:jc w:val="right"/>
              <w:rPr>
                <w:sz w:val="15"/>
                <w:szCs w:val="15"/>
              </w:rPr>
            </w:pPr>
            <w:r w:rsidRPr="001D5AE2">
              <w:rPr>
                <w:sz w:val="15"/>
                <w:szCs w:val="15"/>
              </w:rPr>
              <w:t>9.3</w:t>
            </w:r>
          </w:p>
        </w:tc>
        <w:tc>
          <w:tcPr>
            <w:tcW w:w="748" w:type="dxa"/>
            <w:shd w:val="clear" w:color="auto" w:fill="auto"/>
            <w:noWrap/>
          </w:tcPr>
          <w:p w14:paraId="2E1E060E" w14:textId="0F362895" w:rsidR="003178D9" w:rsidRPr="001D5AE2" w:rsidRDefault="003178D9" w:rsidP="003178D9">
            <w:pPr>
              <w:spacing w:after="0" w:line="240" w:lineRule="auto"/>
              <w:jc w:val="right"/>
              <w:rPr>
                <w:sz w:val="15"/>
                <w:szCs w:val="15"/>
              </w:rPr>
            </w:pPr>
            <w:r w:rsidRPr="001D5AE2">
              <w:rPr>
                <w:sz w:val="15"/>
                <w:szCs w:val="15"/>
              </w:rPr>
              <w:t>15.2</w:t>
            </w:r>
          </w:p>
        </w:tc>
        <w:tc>
          <w:tcPr>
            <w:tcW w:w="748" w:type="dxa"/>
            <w:shd w:val="clear" w:color="auto" w:fill="auto"/>
            <w:noWrap/>
          </w:tcPr>
          <w:p w14:paraId="50DB17DC" w14:textId="2BBF9A65"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002F256C" w14:textId="7092EC5B" w:rsidR="003178D9" w:rsidRPr="001D5AE2" w:rsidRDefault="003178D9" w:rsidP="003178D9">
            <w:pPr>
              <w:spacing w:after="0" w:line="240" w:lineRule="auto"/>
              <w:jc w:val="right"/>
              <w:rPr>
                <w:sz w:val="15"/>
                <w:szCs w:val="15"/>
              </w:rPr>
            </w:pPr>
            <w:r w:rsidRPr="001D5AE2">
              <w:rPr>
                <w:sz w:val="15"/>
                <w:szCs w:val="15"/>
              </w:rPr>
              <w:t>10.0</w:t>
            </w:r>
          </w:p>
        </w:tc>
        <w:tc>
          <w:tcPr>
            <w:tcW w:w="748" w:type="dxa"/>
            <w:shd w:val="clear" w:color="auto" w:fill="auto"/>
            <w:noWrap/>
          </w:tcPr>
          <w:p w14:paraId="2BBB5330" w14:textId="4F824CD4" w:rsidR="003178D9" w:rsidRPr="001D5AE2" w:rsidRDefault="003178D9" w:rsidP="003178D9">
            <w:pPr>
              <w:spacing w:after="0" w:line="240" w:lineRule="auto"/>
              <w:jc w:val="right"/>
              <w:rPr>
                <w:sz w:val="15"/>
                <w:szCs w:val="15"/>
              </w:rPr>
            </w:pPr>
            <w:r w:rsidRPr="001D5AE2">
              <w:rPr>
                <w:sz w:val="15"/>
                <w:szCs w:val="15"/>
              </w:rPr>
              <w:t>0.0</w:t>
            </w:r>
          </w:p>
        </w:tc>
        <w:tc>
          <w:tcPr>
            <w:tcW w:w="757" w:type="dxa"/>
            <w:shd w:val="clear" w:color="auto" w:fill="auto"/>
            <w:noWrap/>
          </w:tcPr>
          <w:p w14:paraId="4C731FB2" w14:textId="54CA3EE6" w:rsidR="003178D9" w:rsidRPr="001D5AE2" w:rsidRDefault="003178D9" w:rsidP="003178D9">
            <w:pPr>
              <w:spacing w:after="0" w:line="240" w:lineRule="auto"/>
              <w:jc w:val="right"/>
              <w:rPr>
                <w:sz w:val="15"/>
                <w:szCs w:val="15"/>
              </w:rPr>
            </w:pPr>
            <w:r w:rsidRPr="001D5AE2">
              <w:rPr>
                <w:sz w:val="15"/>
                <w:szCs w:val="15"/>
              </w:rPr>
              <w:t>8.2</w:t>
            </w:r>
          </w:p>
        </w:tc>
        <w:tc>
          <w:tcPr>
            <w:tcW w:w="748" w:type="dxa"/>
            <w:shd w:val="clear" w:color="auto" w:fill="auto"/>
            <w:noWrap/>
          </w:tcPr>
          <w:p w14:paraId="7793CDEC" w14:textId="6DDBEE3F" w:rsidR="003178D9" w:rsidRPr="001D5AE2" w:rsidRDefault="003178D9" w:rsidP="003178D9">
            <w:pPr>
              <w:spacing w:after="0" w:line="240" w:lineRule="auto"/>
              <w:jc w:val="right"/>
              <w:rPr>
                <w:sz w:val="15"/>
                <w:szCs w:val="15"/>
              </w:rPr>
            </w:pPr>
            <w:r w:rsidRPr="001D5AE2">
              <w:rPr>
                <w:sz w:val="15"/>
                <w:szCs w:val="15"/>
              </w:rPr>
              <w:t>0.0</w:t>
            </w:r>
          </w:p>
        </w:tc>
        <w:tc>
          <w:tcPr>
            <w:tcW w:w="763" w:type="dxa"/>
            <w:shd w:val="clear" w:color="auto" w:fill="auto"/>
            <w:noWrap/>
          </w:tcPr>
          <w:p w14:paraId="7C4FC3E7" w14:textId="294FC7EC" w:rsidR="003178D9" w:rsidRPr="001D5AE2" w:rsidRDefault="003178D9" w:rsidP="003178D9">
            <w:pPr>
              <w:spacing w:after="0" w:line="240" w:lineRule="auto"/>
              <w:jc w:val="right"/>
              <w:rPr>
                <w:sz w:val="15"/>
                <w:szCs w:val="15"/>
              </w:rPr>
            </w:pPr>
            <w:r w:rsidRPr="001D5AE2">
              <w:rPr>
                <w:sz w:val="15"/>
                <w:szCs w:val="15"/>
              </w:rPr>
              <w:t>13.5</w:t>
            </w:r>
          </w:p>
        </w:tc>
      </w:tr>
      <w:tr w:rsidR="003178D9" w:rsidRPr="001D5AE2" w14:paraId="46A3CBAF" w14:textId="77777777" w:rsidTr="00D76DAA">
        <w:trPr>
          <w:trHeight w:val="288"/>
        </w:trPr>
        <w:tc>
          <w:tcPr>
            <w:tcW w:w="1134" w:type="dxa"/>
            <w:shd w:val="clear" w:color="auto" w:fill="auto"/>
            <w:vAlign w:val="center"/>
          </w:tcPr>
          <w:p w14:paraId="05694F08" w14:textId="77777777" w:rsidR="003178D9" w:rsidRPr="001D5AE2" w:rsidRDefault="003178D9" w:rsidP="003178D9">
            <w:pPr>
              <w:spacing w:after="0" w:line="240" w:lineRule="auto"/>
              <w:rPr>
                <w:rFonts w:cstheme="minorHAnsi"/>
                <w:sz w:val="15"/>
                <w:szCs w:val="15"/>
              </w:rPr>
            </w:pPr>
            <w:r w:rsidRPr="001D5AE2">
              <w:rPr>
                <w:rFonts w:eastAsia="Times New Roman" w:cstheme="minorHAnsi"/>
                <w:color w:val="000000"/>
                <w:sz w:val="15"/>
                <w:szCs w:val="15"/>
              </w:rPr>
              <w:t>External Financing - Bilateral Loans</w:t>
            </w:r>
          </w:p>
        </w:tc>
        <w:tc>
          <w:tcPr>
            <w:tcW w:w="769" w:type="dxa"/>
            <w:shd w:val="clear" w:color="auto" w:fill="auto"/>
            <w:noWrap/>
          </w:tcPr>
          <w:p w14:paraId="3409A48C" w14:textId="74B564E6"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70FA6300" w14:textId="6DECC649"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50B4F687" w14:textId="2F7FCCBE"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496278E0" w14:textId="54DE4FFE"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61C40F6D" w14:textId="6FAF9B3D"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3990B193" w14:textId="3EE35671"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7EF91A3B" w14:textId="3277FA74" w:rsidR="003178D9" w:rsidRPr="001D5AE2" w:rsidRDefault="003178D9" w:rsidP="003178D9">
            <w:pPr>
              <w:spacing w:after="0" w:line="240" w:lineRule="auto"/>
              <w:jc w:val="right"/>
              <w:rPr>
                <w:sz w:val="15"/>
                <w:szCs w:val="15"/>
              </w:rPr>
            </w:pPr>
            <w:r w:rsidRPr="001D5AE2">
              <w:rPr>
                <w:sz w:val="15"/>
                <w:szCs w:val="15"/>
              </w:rPr>
              <w:t>0.0</w:t>
            </w:r>
          </w:p>
        </w:tc>
        <w:tc>
          <w:tcPr>
            <w:tcW w:w="757" w:type="dxa"/>
            <w:shd w:val="clear" w:color="auto" w:fill="auto"/>
            <w:noWrap/>
          </w:tcPr>
          <w:p w14:paraId="357054BA" w14:textId="3FCFFFF8"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316F30D3" w14:textId="299BA00B" w:rsidR="003178D9" w:rsidRPr="001D5AE2" w:rsidRDefault="003178D9" w:rsidP="003178D9">
            <w:pPr>
              <w:spacing w:after="0" w:line="240" w:lineRule="auto"/>
              <w:jc w:val="right"/>
              <w:rPr>
                <w:sz w:val="15"/>
                <w:szCs w:val="15"/>
              </w:rPr>
            </w:pPr>
            <w:r w:rsidRPr="001D5AE2">
              <w:rPr>
                <w:sz w:val="15"/>
                <w:szCs w:val="15"/>
              </w:rPr>
              <w:t>0.0</w:t>
            </w:r>
          </w:p>
        </w:tc>
        <w:tc>
          <w:tcPr>
            <w:tcW w:w="763" w:type="dxa"/>
            <w:shd w:val="clear" w:color="auto" w:fill="auto"/>
            <w:noWrap/>
          </w:tcPr>
          <w:p w14:paraId="11B0CC8C" w14:textId="52577C65" w:rsidR="003178D9" w:rsidRPr="001D5AE2" w:rsidRDefault="003178D9" w:rsidP="003178D9">
            <w:pPr>
              <w:spacing w:after="0" w:line="240" w:lineRule="auto"/>
              <w:jc w:val="right"/>
              <w:rPr>
                <w:sz w:val="15"/>
                <w:szCs w:val="15"/>
              </w:rPr>
            </w:pPr>
            <w:r w:rsidRPr="001D5AE2">
              <w:rPr>
                <w:sz w:val="15"/>
                <w:szCs w:val="15"/>
              </w:rPr>
              <w:t>0.0</w:t>
            </w:r>
          </w:p>
        </w:tc>
      </w:tr>
      <w:tr w:rsidR="003178D9" w:rsidRPr="001D5AE2" w14:paraId="3BF4EB05" w14:textId="77777777" w:rsidTr="00D76DAA">
        <w:trPr>
          <w:trHeight w:val="288"/>
        </w:trPr>
        <w:tc>
          <w:tcPr>
            <w:tcW w:w="1134" w:type="dxa"/>
            <w:shd w:val="clear" w:color="auto" w:fill="auto"/>
            <w:vAlign w:val="center"/>
          </w:tcPr>
          <w:p w14:paraId="14C9D497" w14:textId="77777777" w:rsidR="003178D9" w:rsidRPr="001D5AE2" w:rsidRDefault="003178D9" w:rsidP="003178D9">
            <w:pPr>
              <w:spacing w:after="0" w:line="240" w:lineRule="auto"/>
              <w:rPr>
                <w:rFonts w:cstheme="minorHAnsi"/>
                <w:sz w:val="15"/>
                <w:szCs w:val="15"/>
              </w:rPr>
            </w:pPr>
            <w:r w:rsidRPr="001D5AE2">
              <w:rPr>
                <w:rFonts w:eastAsia="Times New Roman" w:cstheme="minorHAnsi"/>
                <w:color w:val="000000"/>
                <w:sz w:val="15"/>
                <w:szCs w:val="15"/>
              </w:rPr>
              <w:t>Other External Financing</w:t>
            </w:r>
          </w:p>
        </w:tc>
        <w:tc>
          <w:tcPr>
            <w:tcW w:w="769" w:type="dxa"/>
            <w:shd w:val="clear" w:color="auto" w:fill="auto"/>
            <w:noWrap/>
          </w:tcPr>
          <w:p w14:paraId="1DED5A6E" w14:textId="014C0397"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35B302EE" w14:textId="5C32639D"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2F843D8D" w14:textId="14245AE0"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7F3A22EF" w14:textId="51BF0456"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745B2D6C" w14:textId="28164397"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68EA7926" w14:textId="792BC45B"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06369CD2" w14:textId="1F18C25C" w:rsidR="003178D9" w:rsidRPr="001D5AE2" w:rsidRDefault="003178D9" w:rsidP="003178D9">
            <w:pPr>
              <w:spacing w:after="0" w:line="240" w:lineRule="auto"/>
              <w:jc w:val="right"/>
              <w:rPr>
                <w:sz w:val="15"/>
                <w:szCs w:val="15"/>
              </w:rPr>
            </w:pPr>
            <w:r w:rsidRPr="001D5AE2">
              <w:rPr>
                <w:sz w:val="15"/>
                <w:szCs w:val="15"/>
              </w:rPr>
              <w:t>0.0</w:t>
            </w:r>
          </w:p>
        </w:tc>
        <w:tc>
          <w:tcPr>
            <w:tcW w:w="757" w:type="dxa"/>
            <w:shd w:val="clear" w:color="auto" w:fill="auto"/>
            <w:noWrap/>
          </w:tcPr>
          <w:p w14:paraId="782ADAFC" w14:textId="13E4FB19" w:rsidR="003178D9" w:rsidRPr="001D5AE2" w:rsidRDefault="003178D9" w:rsidP="003178D9">
            <w:pPr>
              <w:spacing w:after="0" w:line="240" w:lineRule="auto"/>
              <w:jc w:val="right"/>
              <w:rPr>
                <w:sz w:val="15"/>
                <w:szCs w:val="15"/>
              </w:rPr>
            </w:pPr>
            <w:r w:rsidRPr="001D5AE2">
              <w:rPr>
                <w:sz w:val="15"/>
                <w:szCs w:val="15"/>
              </w:rPr>
              <w:t>0.0</w:t>
            </w:r>
          </w:p>
        </w:tc>
        <w:tc>
          <w:tcPr>
            <w:tcW w:w="748" w:type="dxa"/>
            <w:shd w:val="clear" w:color="auto" w:fill="auto"/>
            <w:noWrap/>
          </w:tcPr>
          <w:p w14:paraId="1F1FE651" w14:textId="52819FFC" w:rsidR="003178D9" w:rsidRPr="001D5AE2" w:rsidRDefault="003178D9" w:rsidP="003178D9">
            <w:pPr>
              <w:spacing w:after="0" w:line="240" w:lineRule="auto"/>
              <w:jc w:val="right"/>
              <w:rPr>
                <w:sz w:val="15"/>
                <w:szCs w:val="15"/>
              </w:rPr>
            </w:pPr>
            <w:r w:rsidRPr="001D5AE2">
              <w:rPr>
                <w:sz w:val="15"/>
                <w:szCs w:val="15"/>
              </w:rPr>
              <w:t>0.0</w:t>
            </w:r>
          </w:p>
        </w:tc>
        <w:tc>
          <w:tcPr>
            <w:tcW w:w="763" w:type="dxa"/>
            <w:shd w:val="clear" w:color="auto" w:fill="auto"/>
            <w:noWrap/>
          </w:tcPr>
          <w:p w14:paraId="25D37324" w14:textId="51E35F56" w:rsidR="003178D9" w:rsidRPr="001D5AE2" w:rsidRDefault="003178D9" w:rsidP="003178D9">
            <w:pPr>
              <w:spacing w:after="0" w:line="240" w:lineRule="auto"/>
              <w:jc w:val="right"/>
              <w:rPr>
                <w:sz w:val="15"/>
                <w:szCs w:val="15"/>
              </w:rPr>
            </w:pPr>
            <w:r w:rsidRPr="001D5AE2">
              <w:rPr>
                <w:sz w:val="15"/>
                <w:szCs w:val="15"/>
              </w:rPr>
              <w:t>0.0</w:t>
            </w:r>
          </w:p>
        </w:tc>
      </w:tr>
      <w:tr w:rsidR="003E0861" w:rsidRPr="001D5AE2" w14:paraId="05EB5ACD" w14:textId="77777777" w:rsidTr="000C30C2">
        <w:trPr>
          <w:trHeight w:val="288"/>
        </w:trPr>
        <w:tc>
          <w:tcPr>
            <w:tcW w:w="8659" w:type="dxa"/>
            <w:gridSpan w:val="11"/>
            <w:shd w:val="clear" w:color="auto" w:fill="92D050"/>
          </w:tcPr>
          <w:p w14:paraId="7DB78EB9" w14:textId="64C453BE" w:rsidR="003E0861" w:rsidRPr="001D5AE2" w:rsidRDefault="003E0861" w:rsidP="003E0861">
            <w:pPr>
              <w:spacing w:after="0" w:line="240" w:lineRule="auto"/>
              <w:rPr>
                <w:rFonts w:cstheme="minorHAnsi"/>
                <w:sz w:val="15"/>
                <w:szCs w:val="15"/>
              </w:rPr>
            </w:pPr>
            <w:r w:rsidRPr="001D5AE2">
              <w:rPr>
                <w:rFonts w:cstheme="minorHAnsi"/>
                <w:b/>
                <w:bCs/>
                <w:sz w:val="15"/>
                <w:szCs w:val="15"/>
              </w:rPr>
              <w:t>Domestic Financing</w:t>
            </w:r>
          </w:p>
        </w:tc>
      </w:tr>
      <w:tr w:rsidR="007D740A" w:rsidRPr="001D5AE2" w14:paraId="37479949" w14:textId="77777777" w:rsidTr="001811A0">
        <w:trPr>
          <w:trHeight w:val="288"/>
        </w:trPr>
        <w:tc>
          <w:tcPr>
            <w:tcW w:w="1134" w:type="dxa"/>
            <w:shd w:val="clear" w:color="auto" w:fill="auto"/>
          </w:tcPr>
          <w:p w14:paraId="4A7B5E4E" w14:textId="2BC94B56" w:rsidR="007D740A" w:rsidRPr="001D5AE2" w:rsidRDefault="007D740A" w:rsidP="007D740A">
            <w:pPr>
              <w:spacing w:after="0" w:line="240" w:lineRule="auto"/>
              <w:rPr>
                <w:rFonts w:cstheme="minorHAnsi"/>
                <w:color w:val="FF0000"/>
                <w:sz w:val="15"/>
                <w:szCs w:val="15"/>
              </w:rPr>
            </w:pPr>
            <w:bookmarkStart w:id="4" w:name="_Hlk115419535"/>
            <w:r w:rsidRPr="001D5AE2">
              <w:rPr>
                <w:rFonts w:cstheme="minorHAnsi"/>
                <w:color w:val="FF0000"/>
                <w:sz w:val="15"/>
                <w:szCs w:val="15"/>
              </w:rPr>
              <w:t>Total Gross Borrowing Requirements</w:t>
            </w:r>
          </w:p>
        </w:tc>
        <w:tc>
          <w:tcPr>
            <w:tcW w:w="769" w:type="dxa"/>
            <w:shd w:val="clear" w:color="auto" w:fill="auto"/>
            <w:noWrap/>
          </w:tcPr>
          <w:p w14:paraId="79DDB0B2" w14:textId="6ACECE86" w:rsidR="007D740A" w:rsidRPr="001D5AE2" w:rsidRDefault="007D740A" w:rsidP="007D740A">
            <w:pPr>
              <w:spacing w:after="0" w:line="240" w:lineRule="auto"/>
              <w:jc w:val="right"/>
              <w:rPr>
                <w:sz w:val="15"/>
                <w:szCs w:val="15"/>
              </w:rPr>
            </w:pPr>
            <w:r w:rsidRPr="001D5AE2">
              <w:rPr>
                <w:sz w:val="15"/>
                <w:szCs w:val="15"/>
              </w:rPr>
              <w:t>36,700.0</w:t>
            </w:r>
          </w:p>
        </w:tc>
        <w:tc>
          <w:tcPr>
            <w:tcW w:w="748" w:type="dxa"/>
            <w:shd w:val="clear" w:color="auto" w:fill="auto"/>
            <w:noWrap/>
          </w:tcPr>
          <w:p w14:paraId="48D09F1D" w14:textId="17D7FD82" w:rsidR="007D740A" w:rsidRPr="001D5AE2" w:rsidRDefault="007D740A" w:rsidP="007D740A">
            <w:pPr>
              <w:spacing w:after="0" w:line="240" w:lineRule="auto"/>
              <w:rPr>
                <w:sz w:val="15"/>
                <w:szCs w:val="15"/>
              </w:rPr>
            </w:pPr>
            <w:r w:rsidRPr="001D5AE2">
              <w:rPr>
                <w:sz w:val="15"/>
                <w:szCs w:val="15"/>
              </w:rPr>
              <w:t>27,160.6</w:t>
            </w:r>
          </w:p>
        </w:tc>
        <w:tc>
          <w:tcPr>
            <w:tcW w:w="748" w:type="dxa"/>
            <w:shd w:val="clear" w:color="auto" w:fill="auto"/>
            <w:noWrap/>
          </w:tcPr>
          <w:p w14:paraId="0674FE85" w14:textId="3138A177" w:rsidR="007D740A" w:rsidRPr="001D5AE2" w:rsidRDefault="007D740A" w:rsidP="007D740A">
            <w:pPr>
              <w:spacing w:after="0" w:line="240" w:lineRule="auto"/>
              <w:jc w:val="right"/>
              <w:rPr>
                <w:sz w:val="15"/>
                <w:szCs w:val="15"/>
              </w:rPr>
            </w:pPr>
            <w:r w:rsidRPr="001D5AE2">
              <w:rPr>
                <w:sz w:val="15"/>
                <w:szCs w:val="15"/>
              </w:rPr>
              <w:t>33,364.2</w:t>
            </w:r>
          </w:p>
        </w:tc>
        <w:tc>
          <w:tcPr>
            <w:tcW w:w="748" w:type="dxa"/>
            <w:shd w:val="clear" w:color="auto" w:fill="auto"/>
            <w:noWrap/>
          </w:tcPr>
          <w:p w14:paraId="5154E5C5" w14:textId="1423FB80" w:rsidR="007D740A" w:rsidRPr="001D5AE2" w:rsidRDefault="007D740A" w:rsidP="007D740A">
            <w:pPr>
              <w:spacing w:after="0" w:line="240" w:lineRule="auto"/>
              <w:jc w:val="right"/>
              <w:rPr>
                <w:sz w:val="15"/>
                <w:szCs w:val="15"/>
              </w:rPr>
            </w:pPr>
            <w:r w:rsidRPr="001D5AE2">
              <w:rPr>
                <w:sz w:val="15"/>
                <w:szCs w:val="15"/>
              </w:rPr>
              <w:t>32,613.4</w:t>
            </w:r>
          </w:p>
        </w:tc>
        <w:tc>
          <w:tcPr>
            <w:tcW w:w="748" w:type="dxa"/>
            <w:shd w:val="clear" w:color="auto" w:fill="auto"/>
            <w:noWrap/>
          </w:tcPr>
          <w:p w14:paraId="40FF8BE9" w14:textId="5A7F0D2B" w:rsidR="007D740A" w:rsidRPr="001D5AE2" w:rsidRDefault="007D740A" w:rsidP="007D740A">
            <w:pPr>
              <w:spacing w:after="0" w:line="240" w:lineRule="auto"/>
              <w:jc w:val="right"/>
              <w:rPr>
                <w:sz w:val="15"/>
                <w:szCs w:val="15"/>
              </w:rPr>
            </w:pPr>
            <w:r w:rsidRPr="001D5AE2">
              <w:rPr>
                <w:sz w:val="15"/>
                <w:szCs w:val="15"/>
              </w:rPr>
              <w:t>19,476.1</w:t>
            </w:r>
          </w:p>
        </w:tc>
        <w:tc>
          <w:tcPr>
            <w:tcW w:w="748" w:type="dxa"/>
            <w:shd w:val="clear" w:color="auto" w:fill="auto"/>
            <w:noWrap/>
          </w:tcPr>
          <w:p w14:paraId="26A73F37" w14:textId="5B9FD469" w:rsidR="007D740A" w:rsidRPr="001D5AE2" w:rsidRDefault="007D740A" w:rsidP="007D740A">
            <w:pPr>
              <w:spacing w:after="0" w:line="240" w:lineRule="auto"/>
              <w:jc w:val="right"/>
              <w:rPr>
                <w:sz w:val="15"/>
                <w:szCs w:val="15"/>
              </w:rPr>
            </w:pPr>
            <w:r w:rsidRPr="001D5AE2">
              <w:rPr>
                <w:sz w:val="15"/>
                <w:szCs w:val="15"/>
              </w:rPr>
              <w:t>18,604.6</w:t>
            </w:r>
          </w:p>
        </w:tc>
        <w:tc>
          <w:tcPr>
            <w:tcW w:w="748" w:type="dxa"/>
            <w:shd w:val="clear" w:color="auto" w:fill="auto"/>
            <w:noWrap/>
          </w:tcPr>
          <w:p w14:paraId="7930E516" w14:textId="4E04D21B" w:rsidR="007D740A" w:rsidRPr="001D5AE2" w:rsidRDefault="007D740A" w:rsidP="007D740A">
            <w:pPr>
              <w:spacing w:after="0" w:line="240" w:lineRule="auto"/>
              <w:jc w:val="right"/>
              <w:rPr>
                <w:sz w:val="15"/>
                <w:szCs w:val="15"/>
              </w:rPr>
            </w:pPr>
            <w:r w:rsidRPr="001D5AE2">
              <w:rPr>
                <w:sz w:val="15"/>
                <w:szCs w:val="15"/>
              </w:rPr>
              <w:t>35,752.9</w:t>
            </w:r>
          </w:p>
        </w:tc>
        <w:tc>
          <w:tcPr>
            <w:tcW w:w="757" w:type="dxa"/>
            <w:shd w:val="clear" w:color="auto" w:fill="auto"/>
            <w:noWrap/>
          </w:tcPr>
          <w:p w14:paraId="63D18177" w14:textId="74360127" w:rsidR="007D740A" w:rsidRPr="001D5AE2" w:rsidRDefault="007D740A" w:rsidP="007D740A">
            <w:pPr>
              <w:spacing w:after="0" w:line="240" w:lineRule="auto"/>
              <w:jc w:val="right"/>
              <w:rPr>
                <w:sz w:val="15"/>
                <w:szCs w:val="15"/>
              </w:rPr>
            </w:pPr>
            <w:r w:rsidRPr="001D5AE2">
              <w:rPr>
                <w:sz w:val="15"/>
                <w:szCs w:val="15"/>
              </w:rPr>
              <w:t>34,130.3</w:t>
            </w:r>
          </w:p>
        </w:tc>
        <w:tc>
          <w:tcPr>
            <w:tcW w:w="748" w:type="dxa"/>
            <w:shd w:val="clear" w:color="auto" w:fill="auto"/>
            <w:noWrap/>
          </w:tcPr>
          <w:p w14:paraId="77609176" w14:textId="14BDA229" w:rsidR="007D740A" w:rsidRPr="001D5AE2" w:rsidRDefault="007D740A" w:rsidP="007D740A">
            <w:pPr>
              <w:spacing w:after="0" w:line="240" w:lineRule="auto"/>
              <w:jc w:val="right"/>
              <w:rPr>
                <w:sz w:val="15"/>
                <w:szCs w:val="15"/>
              </w:rPr>
            </w:pPr>
            <w:r w:rsidRPr="001D5AE2">
              <w:rPr>
                <w:sz w:val="15"/>
                <w:szCs w:val="15"/>
              </w:rPr>
              <w:t>34,100.7</w:t>
            </w:r>
          </w:p>
        </w:tc>
        <w:tc>
          <w:tcPr>
            <w:tcW w:w="763" w:type="dxa"/>
            <w:shd w:val="clear" w:color="auto" w:fill="auto"/>
            <w:noWrap/>
          </w:tcPr>
          <w:p w14:paraId="4EB956E6" w14:textId="67C6328C" w:rsidR="007D740A" w:rsidRPr="001D5AE2" w:rsidRDefault="007D740A" w:rsidP="007D740A">
            <w:pPr>
              <w:spacing w:after="0" w:line="240" w:lineRule="auto"/>
              <w:jc w:val="right"/>
              <w:rPr>
                <w:sz w:val="15"/>
                <w:szCs w:val="15"/>
              </w:rPr>
            </w:pPr>
            <w:r w:rsidRPr="001D5AE2">
              <w:rPr>
                <w:sz w:val="15"/>
                <w:szCs w:val="15"/>
              </w:rPr>
              <w:t>40,537.9</w:t>
            </w:r>
          </w:p>
        </w:tc>
      </w:tr>
      <w:bookmarkEnd w:id="4"/>
    </w:tbl>
    <w:p w14:paraId="6F99E00B" w14:textId="77777777" w:rsidR="00856B93" w:rsidRPr="001D5AE2" w:rsidRDefault="00856B93" w:rsidP="00AD5934">
      <w:pPr>
        <w:spacing w:after="0" w:line="360" w:lineRule="auto"/>
        <w:jc w:val="both"/>
        <w:rPr>
          <w:rFonts w:ascii="Tahoma" w:hAnsi="Tahoma" w:cs="Tahoma"/>
          <w:color w:val="000000"/>
        </w:rPr>
      </w:pPr>
    </w:p>
    <w:p w14:paraId="358271BF" w14:textId="6FD121C6" w:rsidR="002C29D6" w:rsidRPr="001D5AE2" w:rsidRDefault="002D12B7" w:rsidP="00AD5934">
      <w:pPr>
        <w:spacing w:after="0" w:line="360" w:lineRule="auto"/>
        <w:jc w:val="both"/>
        <w:rPr>
          <w:rFonts w:ascii="Tahoma" w:hAnsi="Tahoma" w:cs="Tahoma"/>
          <w:color w:val="000000"/>
        </w:rPr>
      </w:pPr>
      <w:r w:rsidRPr="001D5AE2">
        <w:rPr>
          <w:rFonts w:ascii="Tahoma" w:hAnsi="Tahoma" w:cs="Tahoma"/>
          <w:color w:val="000000"/>
        </w:rPr>
        <w:t>Borrowing Terms of New Debt (issued/contracted from 2024 onwards)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1134"/>
        <w:gridCol w:w="1098"/>
      </w:tblGrid>
      <w:tr w:rsidR="00523CF8" w:rsidRPr="001D5AE2" w14:paraId="2166D57A" w14:textId="77777777" w:rsidTr="002A0492">
        <w:trPr>
          <w:trHeight w:val="552"/>
        </w:trPr>
        <w:tc>
          <w:tcPr>
            <w:tcW w:w="5240" w:type="dxa"/>
            <w:shd w:val="clear" w:color="auto" w:fill="auto"/>
            <w:vAlign w:val="center"/>
            <w:hideMark/>
          </w:tcPr>
          <w:p w14:paraId="7C59BE9C" w14:textId="77777777" w:rsidR="000902C7" w:rsidRPr="001D5AE2" w:rsidRDefault="002D12B7" w:rsidP="002D12B7">
            <w:pPr>
              <w:spacing w:after="0" w:line="240" w:lineRule="auto"/>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 xml:space="preserve">Borrowing Terms for New Domestic Debt </w:t>
            </w:r>
          </w:p>
          <w:p w14:paraId="0E440F19" w14:textId="4E0DA402" w:rsidR="002D12B7" w:rsidRPr="001D5AE2" w:rsidRDefault="002D12B7" w:rsidP="002D12B7">
            <w:pPr>
              <w:spacing w:after="0" w:line="240" w:lineRule="auto"/>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(issued/contracted from 2024 onwards)</w:t>
            </w:r>
          </w:p>
        </w:tc>
        <w:tc>
          <w:tcPr>
            <w:tcW w:w="1276" w:type="dxa"/>
            <w:shd w:val="clear" w:color="auto" w:fill="auto"/>
            <w:vAlign w:val="center"/>
            <w:hideMark/>
          </w:tcPr>
          <w:p w14:paraId="6403E7CE" w14:textId="77777777" w:rsidR="002D12B7" w:rsidRPr="001D5AE2" w:rsidRDefault="002D12B7" w:rsidP="002D12B7">
            <w:pPr>
              <w:spacing w:after="0" w:line="240" w:lineRule="auto"/>
              <w:jc w:val="center"/>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Interest Rate (%)</w:t>
            </w:r>
          </w:p>
        </w:tc>
        <w:tc>
          <w:tcPr>
            <w:tcW w:w="1134" w:type="dxa"/>
            <w:shd w:val="clear" w:color="auto" w:fill="auto"/>
            <w:vAlign w:val="center"/>
            <w:hideMark/>
          </w:tcPr>
          <w:p w14:paraId="7A9B821B" w14:textId="77777777" w:rsidR="00640422" w:rsidRPr="001D5AE2" w:rsidRDefault="002D12B7" w:rsidP="002D12B7">
            <w:pPr>
              <w:spacing w:after="0" w:line="240" w:lineRule="auto"/>
              <w:jc w:val="center"/>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 xml:space="preserve">Maturity </w:t>
            </w:r>
          </w:p>
          <w:p w14:paraId="04E0ACBF" w14:textId="7AA3D7D2" w:rsidR="002D12B7" w:rsidRPr="001D5AE2" w:rsidRDefault="002D12B7" w:rsidP="002D12B7">
            <w:pPr>
              <w:spacing w:after="0" w:line="240" w:lineRule="auto"/>
              <w:jc w:val="center"/>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 of years)</w:t>
            </w:r>
          </w:p>
        </w:tc>
        <w:tc>
          <w:tcPr>
            <w:tcW w:w="1098" w:type="dxa"/>
            <w:shd w:val="clear" w:color="auto" w:fill="auto"/>
            <w:vAlign w:val="center"/>
            <w:hideMark/>
          </w:tcPr>
          <w:p w14:paraId="5E18DB59" w14:textId="77777777" w:rsidR="00640422" w:rsidRPr="001D5AE2" w:rsidRDefault="002D12B7" w:rsidP="002D12B7">
            <w:pPr>
              <w:spacing w:after="0" w:line="240" w:lineRule="auto"/>
              <w:jc w:val="center"/>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 xml:space="preserve">Grace </w:t>
            </w:r>
          </w:p>
          <w:p w14:paraId="3A4FC5DF" w14:textId="2ACEE44B" w:rsidR="002D12B7" w:rsidRPr="001D5AE2" w:rsidRDefault="002D12B7" w:rsidP="002D12B7">
            <w:pPr>
              <w:spacing w:after="0" w:line="240" w:lineRule="auto"/>
              <w:jc w:val="center"/>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 of years)</w:t>
            </w:r>
          </w:p>
        </w:tc>
      </w:tr>
      <w:tr w:rsidR="00523CF8" w:rsidRPr="001D5AE2" w14:paraId="1A81F568" w14:textId="77777777" w:rsidTr="002A0492">
        <w:trPr>
          <w:trHeight w:val="300"/>
        </w:trPr>
        <w:tc>
          <w:tcPr>
            <w:tcW w:w="5240" w:type="dxa"/>
            <w:shd w:val="clear" w:color="auto" w:fill="auto"/>
            <w:noWrap/>
            <w:vAlign w:val="center"/>
            <w:hideMark/>
          </w:tcPr>
          <w:p w14:paraId="01187E85" w14:textId="4AF947BE" w:rsidR="002D12B7" w:rsidRPr="001D5AE2" w:rsidRDefault="002D12B7" w:rsidP="00523CF8">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Commercial Bank Loans (maturity 1 to 5 years, including Agric Loans, Infrastructure Loans, and MSMEDF)</w:t>
            </w:r>
          </w:p>
        </w:tc>
        <w:tc>
          <w:tcPr>
            <w:tcW w:w="1276" w:type="dxa"/>
            <w:shd w:val="clear" w:color="000000" w:fill="FFFF99"/>
            <w:noWrap/>
            <w:vAlign w:val="bottom"/>
            <w:hideMark/>
          </w:tcPr>
          <w:p w14:paraId="23BA5596"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35.00%</w:t>
            </w:r>
          </w:p>
        </w:tc>
        <w:tc>
          <w:tcPr>
            <w:tcW w:w="1134" w:type="dxa"/>
            <w:shd w:val="clear" w:color="000000" w:fill="FFFF99"/>
            <w:noWrap/>
            <w:vAlign w:val="bottom"/>
            <w:hideMark/>
          </w:tcPr>
          <w:p w14:paraId="3E7227D9"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5</w:t>
            </w:r>
          </w:p>
        </w:tc>
        <w:tc>
          <w:tcPr>
            <w:tcW w:w="1098" w:type="dxa"/>
            <w:shd w:val="clear" w:color="000000" w:fill="FFFF99"/>
            <w:noWrap/>
            <w:vAlign w:val="bottom"/>
            <w:hideMark/>
          </w:tcPr>
          <w:p w14:paraId="3C6F7255"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1</w:t>
            </w:r>
          </w:p>
        </w:tc>
      </w:tr>
      <w:tr w:rsidR="00523CF8" w:rsidRPr="001D5AE2" w14:paraId="60FC4879" w14:textId="77777777" w:rsidTr="002A0492">
        <w:trPr>
          <w:trHeight w:val="300"/>
        </w:trPr>
        <w:tc>
          <w:tcPr>
            <w:tcW w:w="5240" w:type="dxa"/>
            <w:shd w:val="clear" w:color="auto" w:fill="auto"/>
            <w:noWrap/>
            <w:vAlign w:val="center"/>
            <w:hideMark/>
          </w:tcPr>
          <w:p w14:paraId="06B0580C" w14:textId="77777777" w:rsidR="002D12B7" w:rsidRPr="001D5AE2" w:rsidRDefault="002D12B7" w:rsidP="00523CF8">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Commercial Bank Loans (maturity 6 years or longer, including Agric Loans, Infrastructure Loans, and MSMEDF)</w:t>
            </w:r>
          </w:p>
        </w:tc>
        <w:tc>
          <w:tcPr>
            <w:tcW w:w="1276" w:type="dxa"/>
            <w:shd w:val="clear" w:color="000000" w:fill="FFFF99"/>
            <w:noWrap/>
            <w:vAlign w:val="bottom"/>
            <w:hideMark/>
          </w:tcPr>
          <w:p w14:paraId="362E7FDA"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0.00%</w:t>
            </w:r>
          </w:p>
        </w:tc>
        <w:tc>
          <w:tcPr>
            <w:tcW w:w="1134" w:type="dxa"/>
            <w:shd w:val="clear" w:color="000000" w:fill="FFFF99"/>
            <w:noWrap/>
            <w:vAlign w:val="bottom"/>
            <w:hideMark/>
          </w:tcPr>
          <w:p w14:paraId="30EBB094"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0</w:t>
            </w:r>
          </w:p>
        </w:tc>
        <w:tc>
          <w:tcPr>
            <w:tcW w:w="1098" w:type="dxa"/>
            <w:shd w:val="clear" w:color="000000" w:fill="FFFF99"/>
            <w:noWrap/>
            <w:vAlign w:val="bottom"/>
            <w:hideMark/>
          </w:tcPr>
          <w:p w14:paraId="5CE1E432"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0</w:t>
            </w:r>
          </w:p>
        </w:tc>
      </w:tr>
      <w:tr w:rsidR="00523CF8" w:rsidRPr="001D5AE2" w14:paraId="789ABE73" w14:textId="77777777" w:rsidTr="002A0492">
        <w:trPr>
          <w:trHeight w:val="300"/>
        </w:trPr>
        <w:tc>
          <w:tcPr>
            <w:tcW w:w="5240" w:type="dxa"/>
            <w:shd w:val="clear" w:color="auto" w:fill="auto"/>
            <w:noWrap/>
            <w:vAlign w:val="center"/>
            <w:hideMark/>
          </w:tcPr>
          <w:p w14:paraId="497542E4" w14:textId="77777777" w:rsidR="002D12B7" w:rsidRPr="001D5AE2" w:rsidRDefault="002D12B7" w:rsidP="00523CF8">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State Bonds (maturity 1 to 5 years)</w:t>
            </w:r>
          </w:p>
        </w:tc>
        <w:tc>
          <w:tcPr>
            <w:tcW w:w="1276" w:type="dxa"/>
            <w:shd w:val="clear" w:color="000000" w:fill="FFFF99"/>
            <w:noWrap/>
            <w:vAlign w:val="bottom"/>
            <w:hideMark/>
          </w:tcPr>
          <w:p w14:paraId="3294051D"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19.30%</w:t>
            </w:r>
          </w:p>
        </w:tc>
        <w:tc>
          <w:tcPr>
            <w:tcW w:w="1134" w:type="dxa"/>
            <w:shd w:val="clear" w:color="000000" w:fill="FFFF99"/>
            <w:noWrap/>
            <w:vAlign w:val="bottom"/>
            <w:hideMark/>
          </w:tcPr>
          <w:p w14:paraId="7394ECAB"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5</w:t>
            </w:r>
          </w:p>
        </w:tc>
        <w:tc>
          <w:tcPr>
            <w:tcW w:w="1098" w:type="dxa"/>
            <w:shd w:val="clear" w:color="000000" w:fill="FFFF99"/>
            <w:noWrap/>
            <w:vAlign w:val="bottom"/>
            <w:hideMark/>
          </w:tcPr>
          <w:p w14:paraId="334852BC"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1</w:t>
            </w:r>
          </w:p>
        </w:tc>
      </w:tr>
      <w:tr w:rsidR="00523CF8" w:rsidRPr="001D5AE2" w14:paraId="58A54BE4" w14:textId="77777777" w:rsidTr="002A0492">
        <w:trPr>
          <w:trHeight w:val="300"/>
        </w:trPr>
        <w:tc>
          <w:tcPr>
            <w:tcW w:w="5240" w:type="dxa"/>
            <w:shd w:val="clear" w:color="auto" w:fill="auto"/>
            <w:noWrap/>
            <w:vAlign w:val="center"/>
            <w:hideMark/>
          </w:tcPr>
          <w:p w14:paraId="63893EE8" w14:textId="77777777" w:rsidR="002D12B7" w:rsidRPr="001D5AE2" w:rsidRDefault="002D12B7" w:rsidP="00523CF8">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State Bonds (maturity 6 years or longer)</w:t>
            </w:r>
          </w:p>
        </w:tc>
        <w:tc>
          <w:tcPr>
            <w:tcW w:w="1276" w:type="dxa"/>
            <w:shd w:val="clear" w:color="000000" w:fill="FFFF99"/>
            <w:noWrap/>
            <w:vAlign w:val="bottom"/>
            <w:hideMark/>
          </w:tcPr>
          <w:p w14:paraId="233F314F"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19.89%</w:t>
            </w:r>
          </w:p>
        </w:tc>
        <w:tc>
          <w:tcPr>
            <w:tcW w:w="1134" w:type="dxa"/>
            <w:shd w:val="clear" w:color="000000" w:fill="FFFF99"/>
            <w:noWrap/>
            <w:vAlign w:val="bottom"/>
            <w:hideMark/>
          </w:tcPr>
          <w:p w14:paraId="4A53742C"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10</w:t>
            </w:r>
          </w:p>
        </w:tc>
        <w:tc>
          <w:tcPr>
            <w:tcW w:w="1098" w:type="dxa"/>
            <w:shd w:val="clear" w:color="000000" w:fill="FFFF99"/>
            <w:noWrap/>
            <w:vAlign w:val="bottom"/>
            <w:hideMark/>
          </w:tcPr>
          <w:p w14:paraId="7E9C98F8"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1</w:t>
            </w:r>
          </w:p>
        </w:tc>
      </w:tr>
      <w:tr w:rsidR="00523CF8" w:rsidRPr="001D5AE2" w14:paraId="6EDFA056" w14:textId="77777777" w:rsidTr="002A0492">
        <w:trPr>
          <w:trHeight w:val="300"/>
        </w:trPr>
        <w:tc>
          <w:tcPr>
            <w:tcW w:w="5240" w:type="dxa"/>
            <w:shd w:val="clear" w:color="auto" w:fill="auto"/>
            <w:noWrap/>
            <w:vAlign w:val="center"/>
            <w:hideMark/>
          </w:tcPr>
          <w:p w14:paraId="585D55F3" w14:textId="77777777" w:rsidR="002D12B7" w:rsidRPr="001D5AE2" w:rsidRDefault="002D12B7" w:rsidP="00523CF8">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Other Domestic Financing</w:t>
            </w:r>
          </w:p>
        </w:tc>
        <w:tc>
          <w:tcPr>
            <w:tcW w:w="1276" w:type="dxa"/>
            <w:shd w:val="clear" w:color="000000" w:fill="FFFF99"/>
            <w:noWrap/>
            <w:vAlign w:val="bottom"/>
            <w:hideMark/>
          </w:tcPr>
          <w:p w14:paraId="0FB7293E"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9.00%</w:t>
            </w:r>
          </w:p>
        </w:tc>
        <w:tc>
          <w:tcPr>
            <w:tcW w:w="1134" w:type="dxa"/>
            <w:shd w:val="clear" w:color="000000" w:fill="FFFF99"/>
            <w:noWrap/>
            <w:vAlign w:val="bottom"/>
            <w:hideMark/>
          </w:tcPr>
          <w:p w14:paraId="00B5DA76"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7</w:t>
            </w:r>
          </w:p>
        </w:tc>
        <w:tc>
          <w:tcPr>
            <w:tcW w:w="1098" w:type="dxa"/>
            <w:shd w:val="clear" w:color="000000" w:fill="FFFF99"/>
            <w:noWrap/>
            <w:vAlign w:val="bottom"/>
            <w:hideMark/>
          </w:tcPr>
          <w:p w14:paraId="5B8A976A"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1</w:t>
            </w:r>
          </w:p>
        </w:tc>
      </w:tr>
      <w:tr w:rsidR="00523CF8" w:rsidRPr="001D5AE2" w14:paraId="165AD2D6" w14:textId="77777777" w:rsidTr="002A0492">
        <w:trPr>
          <w:trHeight w:val="552"/>
        </w:trPr>
        <w:tc>
          <w:tcPr>
            <w:tcW w:w="5240" w:type="dxa"/>
            <w:shd w:val="clear" w:color="auto" w:fill="auto"/>
            <w:vAlign w:val="center"/>
            <w:hideMark/>
          </w:tcPr>
          <w:p w14:paraId="0480E431" w14:textId="77777777" w:rsidR="000902C7" w:rsidRPr="001D5AE2" w:rsidRDefault="002D12B7" w:rsidP="00523CF8">
            <w:pPr>
              <w:spacing w:after="0" w:line="240" w:lineRule="auto"/>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 xml:space="preserve">Borrowing Terms for New External Debt </w:t>
            </w:r>
          </w:p>
          <w:p w14:paraId="1416FEF4" w14:textId="19F26E5F" w:rsidR="002D12B7" w:rsidRPr="001D5AE2" w:rsidRDefault="002D12B7" w:rsidP="00523CF8">
            <w:pPr>
              <w:spacing w:after="0" w:line="240" w:lineRule="auto"/>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(issued/contracted from 2024 onwards)</w:t>
            </w:r>
          </w:p>
        </w:tc>
        <w:tc>
          <w:tcPr>
            <w:tcW w:w="1276" w:type="dxa"/>
            <w:shd w:val="clear" w:color="auto" w:fill="auto"/>
            <w:vAlign w:val="center"/>
            <w:hideMark/>
          </w:tcPr>
          <w:p w14:paraId="513F85EB" w14:textId="77777777" w:rsidR="002D12B7" w:rsidRPr="001D5AE2" w:rsidRDefault="002D12B7" w:rsidP="002D12B7">
            <w:pPr>
              <w:spacing w:after="0" w:line="240" w:lineRule="auto"/>
              <w:jc w:val="center"/>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Interest Rate (%)</w:t>
            </w:r>
          </w:p>
        </w:tc>
        <w:tc>
          <w:tcPr>
            <w:tcW w:w="1134" w:type="dxa"/>
            <w:shd w:val="clear" w:color="auto" w:fill="auto"/>
            <w:vAlign w:val="center"/>
            <w:hideMark/>
          </w:tcPr>
          <w:p w14:paraId="0D0179D1" w14:textId="77777777" w:rsidR="002D12B7" w:rsidRPr="001D5AE2" w:rsidRDefault="002D12B7" w:rsidP="002D12B7">
            <w:pPr>
              <w:spacing w:after="0" w:line="240" w:lineRule="auto"/>
              <w:jc w:val="center"/>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Maturity (# of years)</w:t>
            </w:r>
          </w:p>
        </w:tc>
        <w:tc>
          <w:tcPr>
            <w:tcW w:w="1098" w:type="dxa"/>
            <w:shd w:val="clear" w:color="auto" w:fill="auto"/>
            <w:vAlign w:val="center"/>
            <w:hideMark/>
          </w:tcPr>
          <w:p w14:paraId="0CAAFA8E" w14:textId="77777777" w:rsidR="002D12B7" w:rsidRPr="001D5AE2" w:rsidRDefault="002D12B7" w:rsidP="002D12B7">
            <w:pPr>
              <w:spacing w:after="0" w:line="240" w:lineRule="auto"/>
              <w:jc w:val="center"/>
              <w:rPr>
                <w:rFonts w:ascii="Calibri" w:eastAsia="Times New Roman" w:hAnsi="Calibri" w:cs="Calibri"/>
                <w:b/>
                <w:bCs/>
                <w:color w:val="0070C0"/>
                <w:sz w:val="18"/>
                <w:szCs w:val="18"/>
              </w:rPr>
            </w:pPr>
            <w:r w:rsidRPr="001D5AE2">
              <w:rPr>
                <w:rFonts w:ascii="Calibri" w:eastAsia="Times New Roman" w:hAnsi="Calibri" w:cs="Calibri"/>
                <w:b/>
                <w:bCs/>
                <w:color w:val="0070C0"/>
                <w:sz w:val="18"/>
                <w:szCs w:val="18"/>
              </w:rPr>
              <w:t>Grace (# of years)</w:t>
            </w:r>
          </w:p>
        </w:tc>
      </w:tr>
      <w:tr w:rsidR="00523CF8" w:rsidRPr="001D5AE2" w14:paraId="75A5AC9C" w14:textId="77777777" w:rsidTr="002A0492">
        <w:trPr>
          <w:trHeight w:val="300"/>
        </w:trPr>
        <w:tc>
          <w:tcPr>
            <w:tcW w:w="5240" w:type="dxa"/>
            <w:shd w:val="clear" w:color="auto" w:fill="auto"/>
            <w:noWrap/>
            <w:vAlign w:val="center"/>
            <w:hideMark/>
          </w:tcPr>
          <w:p w14:paraId="35570687" w14:textId="77777777" w:rsidR="002D12B7" w:rsidRPr="001D5AE2" w:rsidRDefault="002D12B7" w:rsidP="00523CF8">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External Financing - Concessional Loans (e.g., World Bank, African Development Bank)</w:t>
            </w:r>
          </w:p>
        </w:tc>
        <w:tc>
          <w:tcPr>
            <w:tcW w:w="1276" w:type="dxa"/>
            <w:shd w:val="clear" w:color="000000" w:fill="FFFF99"/>
            <w:noWrap/>
            <w:vAlign w:val="bottom"/>
            <w:hideMark/>
          </w:tcPr>
          <w:p w14:paraId="66A23804"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2.47%</w:t>
            </w:r>
          </w:p>
        </w:tc>
        <w:tc>
          <w:tcPr>
            <w:tcW w:w="1134" w:type="dxa"/>
            <w:shd w:val="clear" w:color="000000" w:fill="FFFF99"/>
            <w:noWrap/>
            <w:vAlign w:val="bottom"/>
            <w:hideMark/>
          </w:tcPr>
          <w:p w14:paraId="784BDC86"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30</w:t>
            </w:r>
          </w:p>
        </w:tc>
        <w:tc>
          <w:tcPr>
            <w:tcW w:w="1098" w:type="dxa"/>
            <w:shd w:val="clear" w:color="000000" w:fill="FFFF99"/>
            <w:noWrap/>
            <w:vAlign w:val="bottom"/>
            <w:hideMark/>
          </w:tcPr>
          <w:p w14:paraId="1157F02D"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7</w:t>
            </w:r>
          </w:p>
        </w:tc>
      </w:tr>
      <w:tr w:rsidR="00523CF8" w:rsidRPr="001D5AE2" w14:paraId="2958662B" w14:textId="77777777" w:rsidTr="002A0492">
        <w:trPr>
          <w:trHeight w:val="300"/>
        </w:trPr>
        <w:tc>
          <w:tcPr>
            <w:tcW w:w="5240" w:type="dxa"/>
            <w:shd w:val="clear" w:color="auto" w:fill="auto"/>
            <w:noWrap/>
            <w:vAlign w:val="center"/>
            <w:hideMark/>
          </w:tcPr>
          <w:p w14:paraId="6FDBDAB3" w14:textId="77777777" w:rsidR="002D12B7" w:rsidRPr="001D5AE2" w:rsidRDefault="002D12B7" w:rsidP="00523CF8">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External Financing - Bilateral Loans</w:t>
            </w:r>
          </w:p>
        </w:tc>
        <w:tc>
          <w:tcPr>
            <w:tcW w:w="1276" w:type="dxa"/>
            <w:shd w:val="clear" w:color="000000" w:fill="FFFF99"/>
            <w:noWrap/>
            <w:vAlign w:val="bottom"/>
            <w:hideMark/>
          </w:tcPr>
          <w:p w14:paraId="6061F2F2"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1.15%</w:t>
            </w:r>
          </w:p>
        </w:tc>
        <w:tc>
          <w:tcPr>
            <w:tcW w:w="1134" w:type="dxa"/>
            <w:shd w:val="clear" w:color="000000" w:fill="FFFF99"/>
            <w:noWrap/>
            <w:vAlign w:val="bottom"/>
            <w:hideMark/>
          </w:tcPr>
          <w:p w14:paraId="28B219BD"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20</w:t>
            </w:r>
          </w:p>
        </w:tc>
        <w:tc>
          <w:tcPr>
            <w:tcW w:w="1098" w:type="dxa"/>
            <w:shd w:val="clear" w:color="000000" w:fill="FFFF99"/>
            <w:noWrap/>
            <w:vAlign w:val="bottom"/>
            <w:hideMark/>
          </w:tcPr>
          <w:p w14:paraId="539229BF"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5</w:t>
            </w:r>
          </w:p>
        </w:tc>
      </w:tr>
      <w:tr w:rsidR="00523CF8" w:rsidRPr="001D5AE2" w14:paraId="49217CDB" w14:textId="77777777" w:rsidTr="002A0492">
        <w:trPr>
          <w:trHeight w:val="300"/>
        </w:trPr>
        <w:tc>
          <w:tcPr>
            <w:tcW w:w="5240" w:type="dxa"/>
            <w:shd w:val="clear" w:color="auto" w:fill="auto"/>
            <w:noWrap/>
            <w:vAlign w:val="center"/>
            <w:hideMark/>
          </w:tcPr>
          <w:p w14:paraId="3F545B09" w14:textId="77777777" w:rsidR="002D12B7" w:rsidRPr="001D5AE2" w:rsidRDefault="002D12B7" w:rsidP="00523CF8">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Other External Financing</w:t>
            </w:r>
          </w:p>
        </w:tc>
        <w:tc>
          <w:tcPr>
            <w:tcW w:w="1276" w:type="dxa"/>
            <w:shd w:val="clear" w:color="000000" w:fill="FFFF99"/>
            <w:noWrap/>
            <w:vAlign w:val="bottom"/>
            <w:hideMark/>
          </w:tcPr>
          <w:p w14:paraId="223532D3"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3.00%</w:t>
            </w:r>
          </w:p>
        </w:tc>
        <w:tc>
          <w:tcPr>
            <w:tcW w:w="1134" w:type="dxa"/>
            <w:shd w:val="clear" w:color="000000" w:fill="FFFF99"/>
            <w:noWrap/>
            <w:vAlign w:val="bottom"/>
            <w:hideMark/>
          </w:tcPr>
          <w:p w14:paraId="6DEB9839"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7</w:t>
            </w:r>
          </w:p>
        </w:tc>
        <w:tc>
          <w:tcPr>
            <w:tcW w:w="1098" w:type="dxa"/>
            <w:shd w:val="clear" w:color="000000" w:fill="FFFF99"/>
            <w:noWrap/>
            <w:vAlign w:val="bottom"/>
            <w:hideMark/>
          </w:tcPr>
          <w:p w14:paraId="023BBF2B" w14:textId="77777777" w:rsidR="002D12B7" w:rsidRPr="001D5AE2" w:rsidRDefault="002D12B7" w:rsidP="002D12B7">
            <w:pPr>
              <w:spacing w:after="0" w:line="240" w:lineRule="auto"/>
              <w:jc w:val="center"/>
              <w:rPr>
                <w:rFonts w:ascii="Calibri" w:eastAsia="Times New Roman" w:hAnsi="Calibri" w:cs="Calibri"/>
                <w:sz w:val="18"/>
                <w:szCs w:val="18"/>
              </w:rPr>
            </w:pPr>
            <w:r w:rsidRPr="001D5AE2">
              <w:rPr>
                <w:rFonts w:ascii="Calibri" w:eastAsia="Times New Roman" w:hAnsi="Calibri" w:cs="Calibri"/>
                <w:sz w:val="18"/>
                <w:szCs w:val="18"/>
              </w:rPr>
              <w:t>5</w:t>
            </w:r>
          </w:p>
        </w:tc>
      </w:tr>
    </w:tbl>
    <w:p w14:paraId="3E2B50D1" w14:textId="77777777" w:rsidR="002C29D6" w:rsidRPr="001D5AE2" w:rsidRDefault="002C29D6" w:rsidP="00AD5934">
      <w:pPr>
        <w:spacing w:after="0" w:line="360" w:lineRule="auto"/>
        <w:jc w:val="both"/>
        <w:rPr>
          <w:rFonts w:ascii="Tahoma" w:hAnsi="Tahoma" w:cs="Tahoma"/>
          <w:color w:val="000000"/>
        </w:rPr>
      </w:pPr>
    </w:p>
    <w:p w14:paraId="00877873" w14:textId="77777777" w:rsidR="002C29D6" w:rsidRPr="001D5AE2" w:rsidRDefault="002C29D6" w:rsidP="00AD5934">
      <w:pPr>
        <w:spacing w:after="0" w:line="360" w:lineRule="auto"/>
        <w:jc w:val="both"/>
        <w:rPr>
          <w:rFonts w:ascii="Tahoma" w:hAnsi="Tahoma" w:cs="Tahoma"/>
          <w:color w:val="000000"/>
        </w:rPr>
      </w:pPr>
    </w:p>
    <w:p w14:paraId="5EAFFFE7" w14:textId="77777777" w:rsidR="002C29D6" w:rsidRPr="001D5AE2" w:rsidRDefault="002C29D6" w:rsidP="00AD5934">
      <w:pPr>
        <w:spacing w:after="0" w:line="360" w:lineRule="auto"/>
        <w:jc w:val="both"/>
        <w:rPr>
          <w:rFonts w:ascii="Tahoma" w:hAnsi="Tahoma" w:cs="Tahoma"/>
          <w:color w:val="000000"/>
        </w:rPr>
      </w:pPr>
    </w:p>
    <w:p w14:paraId="11A95D73" w14:textId="77777777" w:rsidR="002C29D6" w:rsidRPr="001D5AE2" w:rsidRDefault="002C29D6" w:rsidP="00AD5934">
      <w:pPr>
        <w:spacing w:after="0" w:line="360" w:lineRule="auto"/>
        <w:jc w:val="both"/>
        <w:rPr>
          <w:rFonts w:ascii="Tahoma" w:hAnsi="Tahoma" w:cs="Tahoma"/>
          <w:color w:val="000000"/>
        </w:rPr>
      </w:pPr>
    </w:p>
    <w:p w14:paraId="7D34EA8C" w14:textId="77777777" w:rsidR="00856B93" w:rsidRPr="001D5AE2" w:rsidRDefault="00856B93" w:rsidP="00856B93">
      <w:pPr>
        <w:pStyle w:val="ListParagraph"/>
        <w:numPr>
          <w:ilvl w:val="2"/>
          <w:numId w:val="20"/>
        </w:numPr>
        <w:spacing w:after="0" w:line="360" w:lineRule="auto"/>
        <w:rPr>
          <w:rFonts w:ascii="Tahoma" w:hAnsi="Tahoma" w:cs="Tahoma"/>
          <w:b/>
          <w:iCs/>
          <w:sz w:val="22"/>
          <w:szCs w:val="22"/>
        </w:rPr>
      </w:pPr>
      <w:r w:rsidRPr="001D5AE2">
        <w:rPr>
          <w:rFonts w:ascii="Tahoma" w:hAnsi="Tahoma" w:cs="Tahoma"/>
          <w:b/>
          <w:iCs/>
          <w:sz w:val="22"/>
          <w:szCs w:val="22"/>
        </w:rPr>
        <w:lastRenderedPageBreak/>
        <w:t>DSA Simulation Results</w:t>
      </w:r>
    </w:p>
    <w:p w14:paraId="7216F411" w14:textId="77777777" w:rsidR="00856B93" w:rsidRPr="001D5AE2" w:rsidRDefault="00856B93" w:rsidP="00856B93">
      <w:pPr>
        <w:spacing w:after="0" w:line="360" w:lineRule="auto"/>
        <w:jc w:val="both"/>
        <w:rPr>
          <w:rFonts w:ascii="Tahoma" w:hAnsi="Tahoma" w:cs="Tahoma"/>
          <w:b/>
          <w:iCs/>
        </w:rPr>
      </w:pPr>
      <w:r w:rsidRPr="001D5AE2">
        <w:rPr>
          <w:rFonts w:ascii="Tahoma" w:hAnsi="Tahoma" w:cs="Tahoma"/>
          <w:b/>
          <w:iCs/>
        </w:rPr>
        <w:t>Revenue, expenditure, overall and primary balance over the long-term.</w:t>
      </w:r>
    </w:p>
    <w:p w14:paraId="723946B7" w14:textId="3F86C5CD" w:rsidR="001A523F" w:rsidRPr="001D5AE2" w:rsidRDefault="00856B93" w:rsidP="001A523F">
      <w:pPr>
        <w:spacing w:line="360" w:lineRule="auto"/>
        <w:jc w:val="both"/>
        <w:rPr>
          <w:rFonts w:ascii="Tahoma" w:hAnsi="Tahoma" w:cs="Tahoma"/>
          <w:bCs/>
          <w:iCs/>
        </w:rPr>
      </w:pPr>
      <w:r w:rsidRPr="001D5AE2">
        <w:rPr>
          <w:rFonts w:ascii="Tahoma" w:hAnsi="Tahoma" w:cs="Tahoma"/>
          <w:b/>
          <w:iCs/>
        </w:rPr>
        <w:t>Revenue</w:t>
      </w:r>
      <w:r w:rsidRPr="001D5AE2">
        <w:rPr>
          <w:rFonts w:ascii="Tahoma" w:hAnsi="Tahoma" w:cs="Tahoma"/>
          <w:bCs/>
          <w:iCs/>
        </w:rPr>
        <w:t xml:space="preserve"> </w:t>
      </w:r>
      <w:r w:rsidR="001A523F" w:rsidRPr="001D5AE2">
        <w:rPr>
          <w:rFonts w:ascii="Tahoma" w:hAnsi="Tahoma" w:cs="Tahoma"/>
          <w:bCs/>
          <w:iCs/>
        </w:rPr>
        <w:t xml:space="preserve">The Macroeconomic framework is based on IMF’s national real GDP growth, IMF World Economic Outlook document, and mineral benchmarks (oil price, production and NGN/USD exchange rate) </w:t>
      </w:r>
      <w:r w:rsidR="00483D98" w:rsidRPr="001D5AE2">
        <w:rPr>
          <w:rFonts w:ascii="Tahoma" w:hAnsi="Tahoma" w:cs="Tahoma"/>
          <w:bCs/>
          <w:iCs/>
        </w:rPr>
        <w:t>as well as inflation forecasts</w:t>
      </w:r>
      <w:r w:rsidR="004F192E" w:rsidRPr="001D5AE2">
        <w:rPr>
          <w:rFonts w:ascii="Tahoma" w:hAnsi="Tahoma" w:cs="Tahoma"/>
          <w:bCs/>
          <w:iCs/>
        </w:rPr>
        <w:t xml:space="preserve">, which was </w:t>
      </w:r>
      <w:r w:rsidR="00E55D35" w:rsidRPr="001D5AE2">
        <w:rPr>
          <w:rFonts w:ascii="Tahoma" w:hAnsi="Tahoma" w:cs="Tahoma"/>
          <w:bCs/>
          <w:iCs/>
        </w:rPr>
        <w:t xml:space="preserve">in line with the </w:t>
      </w:r>
      <w:r w:rsidR="001A523F" w:rsidRPr="001D5AE2">
        <w:rPr>
          <w:rFonts w:ascii="Tahoma" w:hAnsi="Tahoma" w:cs="Tahoma"/>
          <w:bCs/>
          <w:iCs/>
        </w:rPr>
        <w:t>Federal Government of Nigeria’s MTEF/FSP 202</w:t>
      </w:r>
      <w:r w:rsidR="00DD4A2E" w:rsidRPr="001D5AE2">
        <w:rPr>
          <w:rFonts w:ascii="Tahoma" w:hAnsi="Tahoma" w:cs="Tahoma"/>
          <w:bCs/>
          <w:iCs/>
        </w:rPr>
        <w:t>4</w:t>
      </w:r>
      <w:r w:rsidR="001A523F" w:rsidRPr="001D5AE2">
        <w:rPr>
          <w:rFonts w:ascii="Tahoma" w:hAnsi="Tahoma" w:cs="Tahoma"/>
          <w:bCs/>
          <w:iCs/>
        </w:rPr>
        <w:t>-202</w:t>
      </w:r>
      <w:r w:rsidR="00DD4A2E" w:rsidRPr="001D5AE2">
        <w:rPr>
          <w:rFonts w:ascii="Tahoma" w:hAnsi="Tahoma" w:cs="Tahoma"/>
          <w:bCs/>
          <w:iCs/>
        </w:rPr>
        <w:t>6</w:t>
      </w:r>
      <w:r w:rsidR="001A523F" w:rsidRPr="001D5AE2">
        <w:rPr>
          <w:rFonts w:ascii="Tahoma" w:hAnsi="Tahoma" w:cs="Tahoma"/>
          <w:bCs/>
          <w:iCs/>
        </w:rPr>
        <w:t>.</w:t>
      </w:r>
    </w:p>
    <w:p w14:paraId="1239B07C" w14:textId="7DF8D282" w:rsidR="00B664DB" w:rsidRPr="001D5AE2" w:rsidRDefault="00BC5053" w:rsidP="00BC5053">
      <w:pPr>
        <w:spacing w:line="360" w:lineRule="auto"/>
        <w:jc w:val="both"/>
        <w:rPr>
          <w:rFonts w:ascii="Tahoma" w:hAnsi="Tahoma" w:cs="Tahoma"/>
          <w:bCs/>
          <w:iCs/>
        </w:rPr>
      </w:pPr>
      <w:r w:rsidRPr="001D5AE2">
        <w:rPr>
          <w:rFonts w:ascii="Tahoma" w:hAnsi="Tahoma" w:cs="Tahoma"/>
          <w:b/>
          <w:iCs/>
        </w:rPr>
        <w:t>4.3.2</w:t>
      </w:r>
      <w:r w:rsidRPr="001D5AE2">
        <w:rPr>
          <w:rFonts w:ascii="Tahoma" w:hAnsi="Tahoma" w:cs="Tahoma"/>
          <w:b/>
          <w:iCs/>
        </w:rPr>
        <w:tab/>
      </w:r>
      <w:r w:rsidR="001A523F" w:rsidRPr="001D5AE2">
        <w:rPr>
          <w:rFonts w:ascii="Tahoma" w:hAnsi="Tahoma" w:cs="Tahoma"/>
          <w:b/>
          <w:iCs/>
        </w:rPr>
        <w:t>Revenue</w:t>
      </w:r>
      <w:r w:rsidR="001A523F" w:rsidRPr="001D5AE2">
        <w:rPr>
          <w:rFonts w:ascii="Tahoma" w:hAnsi="Tahoma" w:cs="Tahoma"/>
          <w:bCs/>
          <w:iCs/>
        </w:rPr>
        <w:t xml:space="preserve"> </w:t>
      </w:r>
      <w:r w:rsidR="00CC62CA" w:rsidRPr="001D5AE2">
        <w:rPr>
          <w:rFonts w:ascii="Tahoma" w:hAnsi="Tahoma" w:cs="Tahoma"/>
          <w:bCs/>
          <w:iCs/>
        </w:rPr>
        <w:t xml:space="preserve">is </w:t>
      </w:r>
      <w:r w:rsidR="004B5043" w:rsidRPr="001D5AE2">
        <w:rPr>
          <w:rFonts w:ascii="Tahoma" w:hAnsi="Tahoma" w:cs="Tahoma"/>
          <w:bCs/>
          <w:iCs/>
        </w:rPr>
        <w:t xml:space="preserve">expected </w:t>
      </w:r>
      <w:r w:rsidR="001A523F" w:rsidRPr="001D5AE2">
        <w:rPr>
          <w:rFonts w:ascii="Tahoma" w:hAnsi="Tahoma" w:cs="Tahoma"/>
          <w:bCs/>
          <w:iCs/>
        </w:rPr>
        <w:t xml:space="preserve">to </w:t>
      </w:r>
      <w:r w:rsidR="001329DC" w:rsidRPr="001D5AE2">
        <w:rPr>
          <w:rFonts w:ascii="Tahoma" w:hAnsi="Tahoma" w:cs="Tahoma"/>
          <w:bCs/>
          <w:iCs/>
        </w:rPr>
        <w:t>raise</w:t>
      </w:r>
      <w:r w:rsidR="001A523F" w:rsidRPr="001D5AE2">
        <w:rPr>
          <w:rFonts w:ascii="Tahoma" w:hAnsi="Tahoma" w:cs="Tahoma"/>
          <w:bCs/>
          <w:iCs/>
        </w:rPr>
        <w:t xml:space="preserve"> </w:t>
      </w:r>
      <w:r w:rsidR="001329DC" w:rsidRPr="001D5AE2">
        <w:rPr>
          <w:rFonts w:ascii="Tahoma" w:hAnsi="Tahoma" w:cs="Tahoma"/>
          <w:bCs/>
          <w:iCs/>
        </w:rPr>
        <w:t xml:space="preserve">within the </w:t>
      </w:r>
      <w:r w:rsidR="001A523F" w:rsidRPr="001D5AE2">
        <w:rPr>
          <w:rFonts w:ascii="Tahoma" w:hAnsi="Tahoma" w:cs="Tahoma"/>
          <w:bCs/>
          <w:iCs/>
        </w:rPr>
        <w:t>projected period,</w:t>
      </w:r>
      <w:r w:rsidR="00907024" w:rsidRPr="001D5AE2">
        <w:rPr>
          <w:rFonts w:ascii="Tahoma" w:hAnsi="Tahoma" w:cs="Tahoma"/>
          <w:bCs/>
          <w:iCs/>
        </w:rPr>
        <w:t xml:space="preserve"> </w:t>
      </w:r>
      <w:r w:rsidR="00471715" w:rsidRPr="001D5AE2">
        <w:rPr>
          <w:rFonts w:ascii="Tahoma" w:hAnsi="Tahoma" w:cs="Tahoma"/>
          <w:bCs/>
          <w:iCs/>
        </w:rPr>
        <w:t xml:space="preserve">as the </w:t>
      </w:r>
      <w:r w:rsidR="008E6C05" w:rsidRPr="001D5AE2">
        <w:rPr>
          <w:rFonts w:ascii="Tahoma" w:hAnsi="Tahoma" w:cs="Tahoma"/>
          <w:bCs/>
          <w:iCs/>
        </w:rPr>
        <w:t xml:space="preserve">FAAC allocation expected to contribute </w:t>
      </w:r>
      <w:r w:rsidR="00106832" w:rsidRPr="001D5AE2">
        <w:rPr>
          <w:rFonts w:ascii="Tahoma" w:hAnsi="Tahoma" w:cs="Tahoma"/>
          <w:bCs/>
          <w:iCs/>
        </w:rPr>
        <w:t xml:space="preserve">N145,019 million or </w:t>
      </w:r>
      <w:r w:rsidR="00A2414C" w:rsidRPr="001D5AE2">
        <w:rPr>
          <w:rFonts w:ascii="Tahoma" w:hAnsi="Tahoma" w:cs="Tahoma"/>
          <w:bCs/>
          <w:iCs/>
        </w:rPr>
        <w:t>79.56 percent in 202</w:t>
      </w:r>
      <w:r w:rsidR="00240CB9" w:rsidRPr="001D5AE2">
        <w:rPr>
          <w:rFonts w:ascii="Tahoma" w:hAnsi="Tahoma" w:cs="Tahoma"/>
          <w:bCs/>
          <w:iCs/>
        </w:rPr>
        <w:t>4</w:t>
      </w:r>
      <w:r w:rsidR="00A2414C" w:rsidRPr="001D5AE2">
        <w:rPr>
          <w:rFonts w:ascii="Tahoma" w:hAnsi="Tahoma" w:cs="Tahoma"/>
          <w:bCs/>
          <w:iCs/>
        </w:rPr>
        <w:t xml:space="preserve">, </w:t>
      </w:r>
      <w:r w:rsidR="00B8190F" w:rsidRPr="001D5AE2">
        <w:rPr>
          <w:rFonts w:ascii="Tahoma" w:hAnsi="Tahoma" w:cs="Tahoma"/>
          <w:bCs/>
          <w:iCs/>
        </w:rPr>
        <w:t>N</w:t>
      </w:r>
      <w:r w:rsidR="00AE30DF" w:rsidRPr="001D5AE2">
        <w:rPr>
          <w:rFonts w:ascii="Tahoma" w:hAnsi="Tahoma" w:cs="Tahoma"/>
          <w:bCs/>
          <w:iCs/>
        </w:rPr>
        <w:t xml:space="preserve">179,440 million or </w:t>
      </w:r>
      <w:r w:rsidR="008B2D1B" w:rsidRPr="001D5AE2">
        <w:rPr>
          <w:rFonts w:ascii="Tahoma" w:hAnsi="Tahoma" w:cs="Tahoma"/>
          <w:bCs/>
          <w:iCs/>
        </w:rPr>
        <w:t>77.62 percent in 202</w:t>
      </w:r>
      <w:r w:rsidR="00240CB9" w:rsidRPr="001D5AE2">
        <w:rPr>
          <w:rFonts w:ascii="Tahoma" w:hAnsi="Tahoma" w:cs="Tahoma"/>
          <w:bCs/>
          <w:iCs/>
        </w:rPr>
        <w:t xml:space="preserve">6, </w:t>
      </w:r>
      <w:r w:rsidR="00AE30DF" w:rsidRPr="001D5AE2">
        <w:rPr>
          <w:rFonts w:ascii="Tahoma" w:hAnsi="Tahoma" w:cs="Tahoma"/>
          <w:bCs/>
          <w:iCs/>
        </w:rPr>
        <w:t xml:space="preserve">N210,883 million or </w:t>
      </w:r>
      <w:r w:rsidR="008323F2" w:rsidRPr="001D5AE2">
        <w:rPr>
          <w:rFonts w:ascii="Tahoma" w:hAnsi="Tahoma" w:cs="Tahoma"/>
          <w:bCs/>
          <w:iCs/>
        </w:rPr>
        <w:t xml:space="preserve">80.82 percent in 2028, </w:t>
      </w:r>
      <w:r w:rsidR="00963C13" w:rsidRPr="001D5AE2">
        <w:rPr>
          <w:rFonts w:ascii="Tahoma" w:hAnsi="Tahoma" w:cs="Tahoma"/>
          <w:bCs/>
          <w:iCs/>
        </w:rPr>
        <w:t xml:space="preserve">N226,216 million or </w:t>
      </w:r>
      <w:r w:rsidR="008323F2" w:rsidRPr="001D5AE2">
        <w:rPr>
          <w:rFonts w:ascii="Tahoma" w:hAnsi="Tahoma" w:cs="Tahoma"/>
          <w:bCs/>
          <w:iCs/>
        </w:rPr>
        <w:t>77.</w:t>
      </w:r>
      <w:r w:rsidR="005E1F17" w:rsidRPr="001D5AE2">
        <w:rPr>
          <w:rFonts w:ascii="Tahoma" w:hAnsi="Tahoma" w:cs="Tahoma"/>
          <w:bCs/>
          <w:iCs/>
        </w:rPr>
        <w:t xml:space="preserve">79 percent in 2030, and </w:t>
      </w:r>
      <w:r w:rsidR="00963C13" w:rsidRPr="001D5AE2">
        <w:rPr>
          <w:rFonts w:ascii="Tahoma" w:hAnsi="Tahoma" w:cs="Tahoma"/>
          <w:bCs/>
          <w:iCs/>
        </w:rPr>
        <w:t>N241</w:t>
      </w:r>
      <w:r w:rsidR="008E7181" w:rsidRPr="001D5AE2">
        <w:rPr>
          <w:rFonts w:ascii="Tahoma" w:hAnsi="Tahoma" w:cs="Tahoma"/>
          <w:bCs/>
          <w:iCs/>
        </w:rPr>
        <w:t xml:space="preserve">,549 million or </w:t>
      </w:r>
      <w:r w:rsidR="005E1F17" w:rsidRPr="001D5AE2">
        <w:rPr>
          <w:rFonts w:ascii="Tahoma" w:hAnsi="Tahoma" w:cs="Tahoma"/>
          <w:bCs/>
          <w:iCs/>
        </w:rPr>
        <w:t>75.33 percent in 2032</w:t>
      </w:r>
      <w:r w:rsidR="00BC0C6C" w:rsidRPr="001D5AE2">
        <w:rPr>
          <w:rFonts w:ascii="Tahoma" w:hAnsi="Tahoma" w:cs="Tahoma"/>
          <w:bCs/>
          <w:iCs/>
        </w:rPr>
        <w:t>,</w:t>
      </w:r>
      <w:r w:rsidR="008E7181" w:rsidRPr="001D5AE2">
        <w:rPr>
          <w:rFonts w:ascii="Tahoma" w:hAnsi="Tahoma" w:cs="Tahoma"/>
          <w:bCs/>
          <w:iCs/>
        </w:rPr>
        <w:t xml:space="preserve"> </w:t>
      </w:r>
      <w:r w:rsidR="00684ADA" w:rsidRPr="001D5AE2">
        <w:rPr>
          <w:rFonts w:ascii="Tahoma" w:hAnsi="Tahoma" w:cs="Tahoma"/>
          <w:bCs/>
          <w:iCs/>
        </w:rPr>
        <w:t>compared with the IG</w:t>
      </w:r>
      <w:r w:rsidR="001A523F" w:rsidRPr="001D5AE2">
        <w:rPr>
          <w:rFonts w:ascii="Tahoma" w:hAnsi="Tahoma" w:cs="Tahoma"/>
          <w:bCs/>
          <w:iCs/>
        </w:rPr>
        <w:t xml:space="preserve">R </w:t>
      </w:r>
      <w:r w:rsidR="00684ADA" w:rsidRPr="001D5AE2">
        <w:rPr>
          <w:rFonts w:ascii="Tahoma" w:hAnsi="Tahoma" w:cs="Tahoma"/>
          <w:bCs/>
          <w:iCs/>
        </w:rPr>
        <w:t xml:space="preserve">which </w:t>
      </w:r>
      <w:r w:rsidR="00255392" w:rsidRPr="001D5AE2">
        <w:rPr>
          <w:rFonts w:ascii="Tahoma" w:hAnsi="Tahoma" w:cs="Tahoma"/>
          <w:bCs/>
          <w:iCs/>
        </w:rPr>
        <w:t xml:space="preserve">was projected to increase </w:t>
      </w:r>
      <w:r w:rsidR="003D6BA8" w:rsidRPr="001D5AE2">
        <w:rPr>
          <w:rFonts w:ascii="Tahoma" w:hAnsi="Tahoma" w:cs="Tahoma"/>
          <w:bCs/>
          <w:iCs/>
        </w:rPr>
        <w:t xml:space="preserve">by 9.81 percent or </w:t>
      </w:r>
      <w:r w:rsidR="00106832" w:rsidRPr="001D5AE2">
        <w:rPr>
          <w:rFonts w:ascii="Tahoma" w:hAnsi="Tahoma" w:cs="Tahoma"/>
          <w:bCs/>
          <w:iCs/>
        </w:rPr>
        <w:t>N</w:t>
      </w:r>
      <w:r w:rsidR="003D6BA8" w:rsidRPr="001D5AE2">
        <w:rPr>
          <w:rFonts w:ascii="Tahoma" w:hAnsi="Tahoma" w:cs="Tahoma"/>
          <w:bCs/>
          <w:iCs/>
        </w:rPr>
        <w:t xml:space="preserve">19,380 million in </w:t>
      </w:r>
      <w:r w:rsidR="002A73A6" w:rsidRPr="001D5AE2">
        <w:rPr>
          <w:rFonts w:ascii="Tahoma" w:hAnsi="Tahoma" w:cs="Tahoma"/>
          <w:bCs/>
          <w:iCs/>
        </w:rPr>
        <w:t xml:space="preserve">2024, </w:t>
      </w:r>
      <w:r w:rsidR="00DA5EDB" w:rsidRPr="001D5AE2">
        <w:rPr>
          <w:rFonts w:ascii="Tahoma" w:hAnsi="Tahoma" w:cs="Tahoma"/>
          <w:bCs/>
          <w:iCs/>
        </w:rPr>
        <w:t>10</w:t>
      </w:r>
      <w:r w:rsidR="00A160E1" w:rsidRPr="001D5AE2">
        <w:rPr>
          <w:rFonts w:ascii="Tahoma" w:hAnsi="Tahoma" w:cs="Tahoma"/>
          <w:bCs/>
          <w:iCs/>
        </w:rPr>
        <w:t xml:space="preserve">.81 percent or N25,000 million in 2026, </w:t>
      </w:r>
      <w:r w:rsidR="00914BBC" w:rsidRPr="001D5AE2">
        <w:rPr>
          <w:rFonts w:ascii="Tahoma" w:hAnsi="Tahoma" w:cs="Tahoma"/>
          <w:bCs/>
          <w:iCs/>
        </w:rPr>
        <w:t>14</w:t>
      </w:r>
      <w:r w:rsidR="00D5690C" w:rsidRPr="001D5AE2">
        <w:rPr>
          <w:rFonts w:ascii="Tahoma" w:hAnsi="Tahoma" w:cs="Tahoma"/>
          <w:bCs/>
          <w:iCs/>
        </w:rPr>
        <w:t xml:space="preserve">.00 percent </w:t>
      </w:r>
      <w:r w:rsidR="00B96E1B" w:rsidRPr="001D5AE2">
        <w:rPr>
          <w:rFonts w:ascii="Tahoma" w:hAnsi="Tahoma" w:cs="Tahoma"/>
          <w:bCs/>
          <w:iCs/>
        </w:rPr>
        <w:t>or N</w:t>
      </w:r>
      <w:r w:rsidR="00BF2B95" w:rsidRPr="001D5AE2">
        <w:rPr>
          <w:rFonts w:ascii="Tahoma" w:hAnsi="Tahoma" w:cs="Tahoma"/>
          <w:bCs/>
          <w:iCs/>
        </w:rPr>
        <w:t>36,</w:t>
      </w:r>
      <w:r w:rsidR="004D26D6" w:rsidRPr="001D5AE2">
        <w:rPr>
          <w:rFonts w:ascii="Tahoma" w:hAnsi="Tahoma" w:cs="Tahoma"/>
          <w:bCs/>
          <w:iCs/>
        </w:rPr>
        <w:t>538 million in 2028</w:t>
      </w:r>
      <w:r w:rsidR="00D5690C" w:rsidRPr="001D5AE2">
        <w:rPr>
          <w:rFonts w:ascii="Tahoma" w:hAnsi="Tahoma" w:cs="Tahoma"/>
          <w:bCs/>
          <w:iCs/>
        </w:rPr>
        <w:t xml:space="preserve">, 16.53 percent </w:t>
      </w:r>
      <w:r w:rsidR="00497E58" w:rsidRPr="001D5AE2">
        <w:rPr>
          <w:rFonts w:ascii="Tahoma" w:hAnsi="Tahoma" w:cs="Tahoma"/>
          <w:bCs/>
          <w:iCs/>
        </w:rPr>
        <w:t xml:space="preserve">or N48,077 million </w:t>
      </w:r>
      <w:r w:rsidR="00D5690C" w:rsidRPr="001D5AE2">
        <w:rPr>
          <w:rFonts w:ascii="Tahoma" w:hAnsi="Tahoma" w:cs="Tahoma"/>
          <w:bCs/>
          <w:iCs/>
        </w:rPr>
        <w:t xml:space="preserve">in 2030 and </w:t>
      </w:r>
      <w:r w:rsidR="00B96E1B" w:rsidRPr="001D5AE2">
        <w:rPr>
          <w:rFonts w:ascii="Tahoma" w:hAnsi="Tahoma" w:cs="Tahoma"/>
          <w:bCs/>
          <w:iCs/>
        </w:rPr>
        <w:t xml:space="preserve">18.59 percent </w:t>
      </w:r>
      <w:r w:rsidR="00C15BE5" w:rsidRPr="001D5AE2">
        <w:rPr>
          <w:rFonts w:ascii="Tahoma" w:hAnsi="Tahoma" w:cs="Tahoma"/>
          <w:bCs/>
          <w:iCs/>
        </w:rPr>
        <w:t xml:space="preserve">or N59,615 million </w:t>
      </w:r>
      <w:r w:rsidR="00B96E1B" w:rsidRPr="001D5AE2">
        <w:rPr>
          <w:rFonts w:ascii="Tahoma" w:hAnsi="Tahoma" w:cs="Tahoma"/>
          <w:bCs/>
          <w:iCs/>
        </w:rPr>
        <w:t>in 2032</w:t>
      </w:r>
      <w:r w:rsidR="00C15BE5" w:rsidRPr="001D5AE2">
        <w:rPr>
          <w:rFonts w:ascii="Tahoma" w:hAnsi="Tahoma" w:cs="Tahoma"/>
          <w:bCs/>
          <w:iCs/>
        </w:rPr>
        <w:t xml:space="preserve"> respectively</w:t>
      </w:r>
      <w:r w:rsidR="001A523F" w:rsidRPr="001D5AE2">
        <w:rPr>
          <w:rFonts w:ascii="Tahoma" w:hAnsi="Tahoma" w:cs="Tahoma"/>
          <w:bCs/>
          <w:iCs/>
        </w:rPr>
        <w:t xml:space="preserve">. </w:t>
      </w:r>
      <w:r w:rsidR="00FD2A52" w:rsidRPr="001D5AE2">
        <w:rPr>
          <w:rFonts w:ascii="Tahoma" w:hAnsi="Tahoma" w:cs="Tahoma"/>
          <w:bCs/>
          <w:iCs/>
        </w:rPr>
        <w:t xml:space="preserve">The grant was projected </w:t>
      </w:r>
      <w:r w:rsidR="00FE70BF" w:rsidRPr="001D5AE2">
        <w:rPr>
          <w:rFonts w:ascii="Tahoma" w:hAnsi="Tahoma" w:cs="Tahoma"/>
          <w:bCs/>
          <w:iCs/>
        </w:rPr>
        <w:t xml:space="preserve">at N19,380 million in 2024 and </w:t>
      </w:r>
      <w:r w:rsidR="00E73163" w:rsidRPr="001D5AE2">
        <w:rPr>
          <w:rFonts w:ascii="Tahoma" w:hAnsi="Tahoma" w:cs="Tahoma"/>
          <w:bCs/>
          <w:iCs/>
        </w:rPr>
        <w:t>N21,000 million in 2033</w:t>
      </w:r>
      <w:r w:rsidR="001A523F" w:rsidRPr="001D5AE2">
        <w:rPr>
          <w:rFonts w:ascii="Tahoma" w:hAnsi="Tahoma" w:cs="Tahoma"/>
          <w:bCs/>
          <w:iCs/>
        </w:rPr>
        <w:t xml:space="preserve">, respectively. </w:t>
      </w:r>
      <w:r w:rsidR="00D5470D" w:rsidRPr="001D5AE2">
        <w:rPr>
          <w:rFonts w:ascii="Tahoma" w:hAnsi="Tahoma" w:cs="Tahoma"/>
          <w:bCs/>
          <w:iCs/>
        </w:rPr>
        <w:t>Estimated</w:t>
      </w:r>
      <w:r w:rsidR="001A523F" w:rsidRPr="001D5AE2">
        <w:rPr>
          <w:rFonts w:ascii="Tahoma" w:hAnsi="Tahoma" w:cs="Tahoma"/>
          <w:bCs/>
          <w:iCs/>
        </w:rPr>
        <w:t xml:space="preserve"> </w:t>
      </w:r>
      <w:r w:rsidR="00D5470D" w:rsidRPr="001D5AE2">
        <w:rPr>
          <w:rFonts w:ascii="Tahoma" w:hAnsi="Tahoma" w:cs="Tahoma"/>
          <w:bCs/>
          <w:iCs/>
        </w:rPr>
        <w:t>r</w:t>
      </w:r>
      <w:r w:rsidR="001A523F" w:rsidRPr="001D5AE2">
        <w:rPr>
          <w:rFonts w:ascii="Tahoma" w:hAnsi="Tahoma" w:cs="Tahoma"/>
          <w:bCs/>
          <w:iCs/>
        </w:rPr>
        <w:t>evenue were sources from the Approved 202</w:t>
      </w:r>
      <w:r w:rsidR="00F3631B" w:rsidRPr="001D5AE2">
        <w:rPr>
          <w:rFonts w:ascii="Tahoma" w:hAnsi="Tahoma" w:cs="Tahoma"/>
          <w:bCs/>
          <w:iCs/>
        </w:rPr>
        <w:t>3</w:t>
      </w:r>
      <w:r w:rsidR="001A523F" w:rsidRPr="001D5AE2">
        <w:rPr>
          <w:rFonts w:ascii="Tahoma" w:hAnsi="Tahoma" w:cs="Tahoma"/>
          <w:bCs/>
          <w:iCs/>
        </w:rPr>
        <w:t xml:space="preserve"> Budget;</w:t>
      </w:r>
      <w:r w:rsidR="00684ADA" w:rsidRPr="001D5AE2">
        <w:rPr>
          <w:rFonts w:ascii="Tahoma" w:hAnsi="Tahoma" w:cs="Tahoma"/>
          <w:bCs/>
          <w:iCs/>
        </w:rPr>
        <w:t xml:space="preserve"> MTEF, 202</w:t>
      </w:r>
      <w:r w:rsidR="00F3631B" w:rsidRPr="001D5AE2">
        <w:rPr>
          <w:rFonts w:ascii="Tahoma" w:hAnsi="Tahoma" w:cs="Tahoma"/>
          <w:bCs/>
          <w:iCs/>
        </w:rPr>
        <w:t>3</w:t>
      </w:r>
      <w:r w:rsidR="00590DBC" w:rsidRPr="001D5AE2">
        <w:rPr>
          <w:rFonts w:ascii="Tahoma" w:hAnsi="Tahoma" w:cs="Tahoma"/>
          <w:bCs/>
          <w:iCs/>
        </w:rPr>
        <w:t>-202</w:t>
      </w:r>
      <w:r w:rsidR="00F3631B" w:rsidRPr="001D5AE2">
        <w:rPr>
          <w:rFonts w:ascii="Tahoma" w:hAnsi="Tahoma" w:cs="Tahoma"/>
          <w:bCs/>
          <w:iCs/>
        </w:rPr>
        <w:t>5</w:t>
      </w:r>
      <w:r w:rsidR="001A523F" w:rsidRPr="001D5AE2">
        <w:rPr>
          <w:rFonts w:ascii="Tahoma" w:hAnsi="Tahoma" w:cs="Tahoma"/>
          <w:bCs/>
          <w:iCs/>
        </w:rPr>
        <w:t>;</w:t>
      </w:r>
      <w:r w:rsidR="00684ADA" w:rsidRPr="001D5AE2">
        <w:rPr>
          <w:rFonts w:ascii="Tahoma" w:hAnsi="Tahoma" w:cs="Tahoma"/>
          <w:bCs/>
          <w:iCs/>
        </w:rPr>
        <w:t xml:space="preserve"> </w:t>
      </w:r>
      <w:r w:rsidR="009571E0" w:rsidRPr="001D5AE2">
        <w:rPr>
          <w:rFonts w:ascii="Tahoma" w:hAnsi="Tahoma" w:cs="Tahoma"/>
          <w:bCs/>
          <w:iCs/>
        </w:rPr>
        <w:t>and</w:t>
      </w:r>
      <w:r w:rsidR="001A523F" w:rsidRPr="001D5AE2">
        <w:rPr>
          <w:rFonts w:ascii="Tahoma" w:hAnsi="Tahoma" w:cs="Tahoma"/>
          <w:bCs/>
          <w:iCs/>
        </w:rPr>
        <w:t xml:space="preserve"> the projections period from 202</w:t>
      </w:r>
      <w:r w:rsidR="00F2196F" w:rsidRPr="001D5AE2">
        <w:rPr>
          <w:rFonts w:ascii="Tahoma" w:hAnsi="Tahoma" w:cs="Tahoma"/>
          <w:bCs/>
          <w:iCs/>
        </w:rPr>
        <w:t>6</w:t>
      </w:r>
      <w:r w:rsidR="001A523F" w:rsidRPr="001D5AE2">
        <w:rPr>
          <w:rFonts w:ascii="Tahoma" w:hAnsi="Tahoma" w:cs="Tahoma"/>
          <w:bCs/>
          <w:iCs/>
        </w:rPr>
        <w:t>-203</w:t>
      </w:r>
      <w:r w:rsidR="00F2196F" w:rsidRPr="001D5AE2">
        <w:rPr>
          <w:rFonts w:ascii="Tahoma" w:hAnsi="Tahoma" w:cs="Tahoma"/>
          <w:bCs/>
          <w:iCs/>
        </w:rPr>
        <w:t>6</w:t>
      </w:r>
      <w:r w:rsidR="001A523F" w:rsidRPr="001D5AE2">
        <w:rPr>
          <w:rFonts w:ascii="Tahoma" w:hAnsi="Tahoma" w:cs="Tahoma"/>
          <w:bCs/>
          <w:iCs/>
        </w:rPr>
        <w:t xml:space="preserve"> projections as estimated by the official of </w:t>
      </w:r>
      <w:r w:rsidR="00E62D1F" w:rsidRPr="001D5AE2">
        <w:rPr>
          <w:rFonts w:ascii="Tahoma" w:hAnsi="Tahoma" w:cs="Tahoma"/>
          <w:bCs/>
          <w:iCs/>
        </w:rPr>
        <w:t>Kebbi</w:t>
      </w:r>
      <w:r w:rsidR="001A523F" w:rsidRPr="001D5AE2">
        <w:rPr>
          <w:rFonts w:ascii="Tahoma" w:hAnsi="Tahoma" w:cs="Tahoma"/>
          <w:bCs/>
          <w:iCs/>
        </w:rPr>
        <w:t xml:space="preserve"> State Ministry of Budget and Economic Planning.</w:t>
      </w:r>
    </w:p>
    <w:p w14:paraId="2EF6B01E" w14:textId="782AF8B4" w:rsidR="00B664DB" w:rsidRPr="001D5AE2" w:rsidRDefault="00362C71" w:rsidP="00C10D5E">
      <w:pPr>
        <w:spacing w:line="360" w:lineRule="auto"/>
        <w:jc w:val="both"/>
        <w:rPr>
          <w:rFonts w:ascii="Tahoma" w:hAnsi="Tahoma" w:cs="Tahoma"/>
          <w:bCs/>
          <w:iCs/>
        </w:rPr>
      </w:pPr>
      <w:r w:rsidRPr="001D5AE2">
        <w:rPr>
          <w:noProof/>
        </w:rPr>
        <w:drawing>
          <wp:inline distT="0" distB="0" distL="0" distR="0" wp14:anchorId="07AC579B" wp14:editId="794EF95D">
            <wp:extent cx="5486400" cy="3018155"/>
            <wp:effectExtent l="0" t="0" r="0" b="0"/>
            <wp:docPr id="1295358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70EBE5C3" w14:textId="028E6BB5" w:rsidR="003227EA" w:rsidRPr="001D5AE2" w:rsidRDefault="003227EA" w:rsidP="003227EA">
      <w:pPr>
        <w:spacing w:line="360" w:lineRule="auto"/>
        <w:jc w:val="both"/>
        <w:rPr>
          <w:rFonts w:ascii="Tahoma" w:hAnsi="Tahoma" w:cs="Tahoma"/>
          <w:bCs/>
          <w:iCs/>
        </w:rPr>
      </w:pPr>
      <w:r w:rsidRPr="001D5AE2">
        <w:rPr>
          <w:rFonts w:ascii="Tahoma" w:hAnsi="Tahoma" w:cs="Tahoma"/>
          <w:b/>
          <w:iCs/>
        </w:rPr>
        <w:t>4.3.2</w:t>
      </w:r>
      <w:r w:rsidRPr="001D5AE2">
        <w:rPr>
          <w:rFonts w:ascii="Tahoma" w:hAnsi="Tahoma" w:cs="Tahoma"/>
          <w:b/>
          <w:iCs/>
        </w:rPr>
        <w:tab/>
      </w:r>
      <w:r w:rsidR="00856B93" w:rsidRPr="001D5AE2">
        <w:rPr>
          <w:rFonts w:ascii="Tahoma" w:hAnsi="Tahoma" w:cs="Tahoma"/>
          <w:bCs/>
          <w:iCs/>
        </w:rPr>
        <w:t>Expenditure</w:t>
      </w:r>
      <w:r w:rsidR="003F0B88" w:rsidRPr="001D5AE2">
        <w:rPr>
          <w:rFonts w:ascii="Tahoma" w:hAnsi="Tahoma" w:cs="Tahoma"/>
          <w:bCs/>
          <w:iCs/>
        </w:rPr>
        <w:t xml:space="preserve"> - </w:t>
      </w:r>
      <w:r w:rsidR="005542F0" w:rsidRPr="001D5AE2">
        <w:rPr>
          <w:rFonts w:ascii="Tahoma" w:hAnsi="Tahoma" w:cs="Tahoma"/>
          <w:bCs/>
          <w:iCs/>
        </w:rPr>
        <w:t xml:space="preserve">the actual </w:t>
      </w:r>
      <w:r w:rsidR="00C825AF" w:rsidRPr="001D5AE2">
        <w:rPr>
          <w:rFonts w:ascii="Tahoma" w:hAnsi="Tahoma" w:cs="Tahoma"/>
          <w:bCs/>
          <w:iCs/>
        </w:rPr>
        <w:t xml:space="preserve">expenditure </w:t>
      </w:r>
      <w:r w:rsidR="002E4061" w:rsidRPr="001D5AE2">
        <w:rPr>
          <w:rFonts w:ascii="Tahoma" w:hAnsi="Tahoma" w:cs="Tahoma"/>
          <w:bCs/>
          <w:iCs/>
        </w:rPr>
        <w:t xml:space="preserve">was </w:t>
      </w:r>
      <w:r w:rsidR="006A698B" w:rsidRPr="001D5AE2">
        <w:rPr>
          <w:rFonts w:ascii="Tahoma" w:hAnsi="Tahoma" w:cs="Tahoma"/>
          <w:bCs/>
          <w:iCs/>
        </w:rPr>
        <w:t xml:space="preserve">increased </w:t>
      </w:r>
      <w:r w:rsidR="009A2A25" w:rsidRPr="001D5AE2">
        <w:rPr>
          <w:rFonts w:ascii="Tahoma" w:hAnsi="Tahoma" w:cs="Tahoma"/>
          <w:bCs/>
          <w:iCs/>
        </w:rPr>
        <w:t xml:space="preserve">by </w:t>
      </w:r>
      <w:r w:rsidR="00AF46D7" w:rsidRPr="001D5AE2">
        <w:rPr>
          <w:rFonts w:ascii="Tahoma" w:hAnsi="Tahoma" w:cs="Tahoma"/>
          <w:bCs/>
          <w:iCs/>
        </w:rPr>
        <w:t xml:space="preserve">19.73 percent or N18,503 million from </w:t>
      </w:r>
      <w:r w:rsidR="008257DA" w:rsidRPr="001D5AE2">
        <w:rPr>
          <w:rFonts w:ascii="Tahoma" w:hAnsi="Tahoma" w:cs="Tahoma"/>
          <w:bCs/>
          <w:iCs/>
        </w:rPr>
        <w:t>N93,769 million in 2019 to N112,</w:t>
      </w:r>
      <w:r w:rsidR="00C825AF" w:rsidRPr="001D5AE2">
        <w:rPr>
          <w:rFonts w:ascii="Tahoma" w:hAnsi="Tahoma" w:cs="Tahoma"/>
          <w:bCs/>
          <w:iCs/>
        </w:rPr>
        <w:t>272</w:t>
      </w:r>
      <w:r w:rsidR="003F0B88" w:rsidRPr="001D5AE2">
        <w:rPr>
          <w:rFonts w:ascii="Tahoma" w:hAnsi="Tahoma" w:cs="Tahoma"/>
          <w:bCs/>
          <w:iCs/>
        </w:rPr>
        <w:t xml:space="preserve"> million</w:t>
      </w:r>
      <w:r w:rsidR="00EA1B3A" w:rsidRPr="001D5AE2">
        <w:rPr>
          <w:rFonts w:ascii="Tahoma" w:hAnsi="Tahoma" w:cs="Tahoma"/>
          <w:bCs/>
          <w:iCs/>
        </w:rPr>
        <w:t xml:space="preserve"> in 202</w:t>
      </w:r>
      <w:r w:rsidR="00A56517" w:rsidRPr="001D5AE2">
        <w:rPr>
          <w:rFonts w:ascii="Tahoma" w:hAnsi="Tahoma" w:cs="Tahoma"/>
          <w:bCs/>
          <w:iCs/>
        </w:rPr>
        <w:t>3</w:t>
      </w:r>
      <w:r w:rsidR="00431299" w:rsidRPr="001D5AE2">
        <w:rPr>
          <w:rFonts w:ascii="Tahoma" w:hAnsi="Tahoma" w:cs="Tahoma"/>
          <w:bCs/>
          <w:iCs/>
        </w:rPr>
        <w:t>,</w:t>
      </w:r>
      <w:r w:rsidR="00A56517" w:rsidRPr="001D5AE2">
        <w:rPr>
          <w:rFonts w:ascii="Tahoma" w:hAnsi="Tahoma" w:cs="Tahoma"/>
          <w:bCs/>
          <w:iCs/>
        </w:rPr>
        <w:t xml:space="preserve"> </w:t>
      </w:r>
      <w:r w:rsidR="00B705B2" w:rsidRPr="001D5AE2">
        <w:rPr>
          <w:rFonts w:ascii="Tahoma" w:hAnsi="Tahoma" w:cs="Tahoma"/>
          <w:bCs/>
          <w:iCs/>
        </w:rPr>
        <w:t xml:space="preserve">as the projected </w:t>
      </w:r>
      <w:r w:rsidR="00E015D0" w:rsidRPr="001D5AE2">
        <w:rPr>
          <w:rFonts w:ascii="Tahoma" w:hAnsi="Tahoma" w:cs="Tahoma"/>
          <w:bCs/>
          <w:iCs/>
        </w:rPr>
        <w:lastRenderedPageBreak/>
        <w:t xml:space="preserve">expenditure </w:t>
      </w:r>
      <w:r w:rsidR="007F0C5D" w:rsidRPr="001D5AE2">
        <w:rPr>
          <w:rFonts w:ascii="Tahoma" w:hAnsi="Tahoma" w:cs="Tahoma"/>
          <w:bCs/>
          <w:iCs/>
        </w:rPr>
        <w:t xml:space="preserve">was </w:t>
      </w:r>
      <w:r w:rsidR="000F3DBA" w:rsidRPr="001D5AE2">
        <w:rPr>
          <w:rFonts w:ascii="Tahoma" w:hAnsi="Tahoma" w:cs="Tahoma"/>
          <w:bCs/>
          <w:iCs/>
        </w:rPr>
        <w:t>es</w:t>
      </w:r>
      <w:r w:rsidR="00E015D0" w:rsidRPr="001D5AE2">
        <w:rPr>
          <w:rFonts w:ascii="Tahoma" w:hAnsi="Tahoma" w:cs="Tahoma"/>
          <w:bCs/>
          <w:iCs/>
        </w:rPr>
        <w:t xml:space="preserve">timated </w:t>
      </w:r>
      <w:r w:rsidR="007F0C5D" w:rsidRPr="001D5AE2">
        <w:rPr>
          <w:rFonts w:ascii="Tahoma" w:hAnsi="Tahoma" w:cs="Tahoma"/>
          <w:bCs/>
          <w:iCs/>
        </w:rPr>
        <w:t xml:space="preserve">at </w:t>
      </w:r>
      <w:r w:rsidR="001970C0" w:rsidRPr="001D5AE2">
        <w:rPr>
          <w:rFonts w:ascii="Tahoma" w:hAnsi="Tahoma" w:cs="Tahoma"/>
          <w:bCs/>
          <w:iCs/>
        </w:rPr>
        <w:t xml:space="preserve">N244,855 million in 2024, N225,349 million in </w:t>
      </w:r>
      <w:r w:rsidR="00095561" w:rsidRPr="001D5AE2">
        <w:rPr>
          <w:rFonts w:ascii="Tahoma" w:hAnsi="Tahoma" w:cs="Tahoma"/>
          <w:bCs/>
          <w:iCs/>
        </w:rPr>
        <w:t>2025, N</w:t>
      </w:r>
      <w:r w:rsidR="001970C0" w:rsidRPr="001D5AE2">
        <w:rPr>
          <w:rFonts w:ascii="Tahoma" w:hAnsi="Tahoma" w:cs="Tahoma"/>
          <w:bCs/>
          <w:iCs/>
        </w:rPr>
        <w:t>262,772</w:t>
      </w:r>
      <w:r w:rsidR="00095561" w:rsidRPr="001D5AE2">
        <w:rPr>
          <w:rFonts w:ascii="Tahoma" w:hAnsi="Tahoma" w:cs="Tahoma"/>
          <w:bCs/>
          <w:iCs/>
        </w:rPr>
        <w:t xml:space="preserve"> million 2026, N</w:t>
      </w:r>
      <w:r w:rsidR="001970C0" w:rsidRPr="001D5AE2">
        <w:rPr>
          <w:rFonts w:ascii="Tahoma" w:hAnsi="Tahoma" w:cs="Tahoma"/>
          <w:bCs/>
          <w:iCs/>
        </w:rPr>
        <w:t>288,618</w:t>
      </w:r>
      <w:r w:rsidR="00095561" w:rsidRPr="001D5AE2">
        <w:rPr>
          <w:rFonts w:ascii="Tahoma" w:hAnsi="Tahoma" w:cs="Tahoma"/>
          <w:bCs/>
          <w:iCs/>
        </w:rPr>
        <w:t xml:space="preserve"> million in 2027, N</w:t>
      </w:r>
      <w:r w:rsidR="001970C0" w:rsidRPr="001D5AE2">
        <w:rPr>
          <w:rFonts w:ascii="Tahoma" w:hAnsi="Tahoma" w:cs="Tahoma"/>
          <w:bCs/>
          <w:iCs/>
        </w:rPr>
        <w:t>308,083</w:t>
      </w:r>
      <w:r w:rsidR="00095561" w:rsidRPr="001D5AE2">
        <w:rPr>
          <w:rFonts w:ascii="Tahoma" w:hAnsi="Tahoma" w:cs="Tahoma"/>
          <w:bCs/>
          <w:iCs/>
        </w:rPr>
        <w:t xml:space="preserve"> million in 2028</w:t>
      </w:r>
      <w:r w:rsidR="000413AE" w:rsidRPr="001D5AE2">
        <w:rPr>
          <w:rFonts w:ascii="Tahoma" w:hAnsi="Tahoma" w:cs="Tahoma"/>
          <w:bCs/>
          <w:iCs/>
        </w:rPr>
        <w:t>, N</w:t>
      </w:r>
      <w:r w:rsidR="001970C0" w:rsidRPr="001D5AE2">
        <w:rPr>
          <w:rFonts w:ascii="Tahoma" w:hAnsi="Tahoma" w:cs="Tahoma"/>
          <w:bCs/>
          <w:iCs/>
        </w:rPr>
        <w:t>315,328</w:t>
      </w:r>
      <w:r w:rsidR="000413AE" w:rsidRPr="001D5AE2">
        <w:rPr>
          <w:rFonts w:ascii="Tahoma" w:hAnsi="Tahoma" w:cs="Tahoma"/>
          <w:bCs/>
          <w:iCs/>
        </w:rPr>
        <w:t xml:space="preserve"> million 2029, N</w:t>
      </w:r>
      <w:r w:rsidR="001970C0" w:rsidRPr="001D5AE2">
        <w:rPr>
          <w:rFonts w:ascii="Tahoma" w:hAnsi="Tahoma" w:cs="Tahoma"/>
          <w:bCs/>
          <w:iCs/>
        </w:rPr>
        <w:t>350,242</w:t>
      </w:r>
      <w:r w:rsidR="000413AE" w:rsidRPr="001D5AE2">
        <w:rPr>
          <w:rFonts w:ascii="Tahoma" w:hAnsi="Tahoma" w:cs="Tahoma"/>
          <w:bCs/>
          <w:iCs/>
        </w:rPr>
        <w:t xml:space="preserve"> million </w:t>
      </w:r>
      <w:r w:rsidR="001B5CF4" w:rsidRPr="001D5AE2">
        <w:rPr>
          <w:rFonts w:ascii="Tahoma" w:hAnsi="Tahoma" w:cs="Tahoma"/>
          <w:bCs/>
          <w:iCs/>
        </w:rPr>
        <w:t>in 2030, N</w:t>
      </w:r>
      <w:r w:rsidR="001970C0" w:rsidRPr="001D5AE2">
        <w:rPr>
          <w:rFonts w:ascii="Tahoma" w:hAnsi="Tahoma" w:cs="Tahoma"/>
          <w:bCs/>
          <w:iCs/>
        </w:rPr>
        <w:t>358,034</w:t>
      </w:r>
      <w:r w:rsidR="001B5CF4" w:rsidRPr="001D5AE2">
        <w:rPr>
          <w:rFonts w:ascii="Tahoma" w:hAnsi="Tahoma" w:cs="Tahoma"/>
          <w:bCs/>
          <w:iCs/>
        </w:rPr>
        <w:t xml:space="preserve"> million in 2031, </w:t>
      </w:r>
      <w:r w:rsidR="00C81F2F" w:rsidRPr="001D5AE2">
        <w:rPr>
          <w:rFonts w:ascii="Tahoma" w:hAnsi="Tahoma" w:cs="Tahoma"/>
          <w:bCs/>
          <w:iCs/>
        </w:rPr>
        <w:t>N</w:t>
      </w:r>
      <w:r w:rsidR="001970C0" w:rsidRPr="001D5AE2">
        <w:rPr>
          <w:rFonts w:ascii="Tahoma" w:hAnsi="Tahoma" w:cs="Tahoma"/>
          <w:bCs/>
          <w:iCs/>
        </w:rPr>
        <w:t>383,820</w:t>
      </w:r>
      <w:r w:rsidR="00C81F2F" w:rsidRPr="001D5AE2">
        <w:rPr>
          <w:rFonts w:ascii="Tahoma" w:hAnsi="Tahoma" w:cs="Tahoma"/>
          <w:bCs/>
          <w:iCs/>
        </w:rPr>
        <w:t xml:space="preserve"> million in 2032 and N</w:t>
      </w:r>
      <w:r w:rsidR="001970C0" w:rsidRPr="001D5AE2">
        <w:rPr>
          <w:rFonts w:ascii="Tahoma" w:hAnsi="Tahoma" w:cs="Tahoma"/>
          <w:bCs/>
          <w:iCs/>
        </w:rPr>
        <w:t>413,173</w:t>
      </w:r>
      <w:r w:rsidR="00C81F2F" w:rsidRPr="001D5AE2">
        <w:rPr>
          <w:rFonts w:ascii="Tahoma" w:hAnsi="Tahoma" w:cs="Tahoma"/>
          <w:bCs/>
          <w:iCs/>
        </w:rPr>
        <w:t xml:space="preserve"> million in </w:t>
      </w:r>
      <w:r w:rsidR="00BB59E0" w:rsidRPr="001D5AE2">
        <w:rPr>
          <w:rFonts w:ascii="Tahoma" w:hAnsi="Tahoma" w:cs="Tahoma"/>
          <w:bCs/>
          <w:iCs/>
        </w:rPr>
        <w:t>2033 respectively</w:t>
      </w:r>
      <w:r w:rsidR="007B0DBC" w:rsidRPr="001D5AE2">
        <w:rPr>
          <w:rFonts w:ascii="Tahoma" w:hAnsi="Tahoma" w:cs="Tahoma"/>
          <w:bCs/>
          <w:iCs/>
        </w:rPr>
        <w:t>,</w:t>
      </w:r>
      <w:r w:rsidR="00AD5934" w:rsidRPr="001D5AE2">
        <w:rPr>
          <w:rFonts w:ascii="Tahoma" w:hAnsi="Tahoma" w:cs="Tahoma"/>
          <w:bCs/>
          <w:iCs/>
        </w:rPr>
        <w:t xml:space="preserve"> the Capital expenditure has the largest share over the estimated period. indicating stability in the state growth recovery. The growth in the period is predicated on sustaining effective implementation of the new laws. </w:t>
      </w:r>
      <w:r w:rsidR="006D6DAD" w:rsidRPr="001D5AE2">
        <w:rPr>
          <w:rFonts w:ascii="Tahoma" w:hAnsi="Tahoma" w:cs="Tahoma"/>
          <w:bCs/>
          <w:iCs/>
        </w:rPr>
        <w:t>The government</w:t>
      </w:r>
      <w:r w:rsidR="00AD5934" w:rsidRPr="001D5AE2">
        <w:rPr>
          <w:rFonts w:ascii="Tahoma" w:hAnsi="Tahoma" w:cs="Tahoma"/>
          <w:bCs/>
          <w:iCs/>
        </w:rPr>
        <w:t xml:space="preserve"> is expected to continue its fiscal strategy of directing resources to the most productive and growth-enhancing sectors, inclu</w:t>
      </w:r>
      <w:r w:rsidR="00CE579E" w:rsidRPr="001D5AE2">
        <w:rPr>
          <w:rFonts w:ascii="Tahoma" w:hAnsi="Tahoma" w:cs="Tahoma"/>
          <w:bCs/>
          <w:iCs/>
        </w:rPr>
        <w:t xml:space="preserve">ding agriculture, youth, </w:t>
      </w:r>
      <w:r w:rsidR="00AD5934" w:rsidRPr="001D5AE2">
        <w:rPr>
          <w:rFonts w:ascii="Tahoma" w:hAnsi="Tahoma" w:cs="Tahoma"/>
          <w:bCs/>
          <w:iCs/>
        </w:rPr>
        <w:t>Housi</w:t>
      </w:r>
      <w:r w:rsidR="00CE579E" w:rsidRPr="001D5AE2">
        <w:rPr>
          <w:rFonts w:ascii="Tahoma" w:hAnsi="Tahoma" w:cs="Tahoma"/>
          <w:bCs/>
          <w:iCs/>
        </w:rPr>
        <w:t>ng</w:t>
      </w:r>
      <w:r w:rsidR="00AD5934" w:rsidRPr="001D5AE2">
        <w:rPr>
          <w:rFonts w:ascii="Tahoma" w:hAnsi="Tahoma" w:cs="Tahoma"/>
          <w:bCs/>
          <w:iCs/>
        </w:rPr>
        <w:t xml:space="preserve">, </w:t>
      </w:r>
      <w:r w:rsidR="00CE579E" w:rsidRPr="001D5AE2">
        <w:rPr>
          <w:rFonts w:ascii="Tahoma" w:hAnsi="Tahoma" w:cs="Tahoma"/>
          <w:bCs/>
          <w:iCs/>
        </w:rPr>
        <w:t>e</w:t>
      </w:r>
      <w:r w:rsidR="00AD5934" w:rsidRPr="001D5AE2">
        <w:rPr>
          <w:rFonts w:ascii="Tahoma" w:hAnsi="Tahoma" w:cs="Tahoma"/>
          <w:bCs/>
          <w:iCs/>
        </w:rPr>
        <w:t xml:space="preserve">ducation, </w:t>
      </w:r>
      <w:r w:rsidR="00504401" w:rsidRPr="001D5AE2">
        <w:rPr>
          <w:rFonts w:ascii="Tahoma" w:hAnsi="Tahoma" w:cs="Tahoma"/>
          <w:bCs/>
          <w:iCs/>
        </w:rPr>
        <w:t>Health,</w:t>
      </w:r>
      <w:r w:rsidR="00AD5934" w:rsidRPr="001D5AE2">
        <w:rPr>
          <w:rFonts w:ascii="Tahoma" w:hAnsi="Tahoma" w:cs="Tahoma"/>
          <w:bCs/>
          <w:iCs/>
        </w:rPr>
        <w:t xml:space="preserve"> and Water Resources within the period</w:t>
      </w:r>
      <w:r w:rsidR="002A387C" w:rsidRPr="001D5AE2">
        <w:rPr>
          <w:rFonts w:ascii="Tahoma" w:hAnsi="Tahoma" w:cs="Tahoma"/>
          <w:bCs/>
          <w:iCs/>
        </w:rPr>
        <w:t>.</w:t>
      </w:r>
    </w:p>
    <w:p w14:paraId="514CD70D" w14:textId="08AC71AC" w:rsidR="003227EA" w:rsidRPr="001D5AE2" w:rsidRDefault="003227EA" w:rsidP="00B75550">
      <w:pPr>
        <w:spacing w:line="360" w:lineRule="auto"/>
        <w:jc w:val="both"/>
        <w:rPr>
          <w:rFonts w:ascii="Tahoma" w:hAnsi="Tahoma" w:cs="Tahoma"/>
          <w:bCs/>
          <w:iCs/>
        </w:rPr>
      </w:pPr>
      <w:r w:rsidRPr="001D5AE2">
        <w:rPr>
          <w:rFonts w:ascii="Tahoma" w:hAnsi="Tahoma" w:cs="Tahoma"/>
          <w:bCs/>
          <w:iCs/>
        </w:rPr>
        <w:t xml:space="preserve">Personnel – The staff auditing is to check abnormalities in the payroll. The State is determined to sustain the exercise </w:t>
      </w:r>
      <w:r w:rsidR="00CB2C6C" w:rsidRPr="001D5AE2">
        <w:rPr>
          <w:rFonts w:ascii="Tahoma" w:hAnsi="Tahoma" w:cs="Tahoma"/>
          <w:bCs/>
          <w:iCs/>
        </w:rPr>
        <w:t>by ad</w:t>
      </w:r>
      <w:r w:rsidR="00CA436B" w:rsidRPr="001D5AE2">
        <w:rPr>
          <w:rFonts w:ascii="Tahoma" w:hAnsi="Tahoma" w:cs="Tahoma"/>
          <w:bCs/>
          <w:iCs/>
        </w:rPr>
        <w:t>opting the new minimum wage</w:t>
      </w:r>
      <w:r w:rsidR="00EE6BF6" w:rsidRPr="001D5AE2">
        <w:rPr>
          <w:rFonts w:ascii="Tahoma" w:hAnsi="Tahoma" w:cs="Tahoma"/>
          <w:bCs/>
          <w:iCs/>
        </w:rPr>
        <w:t xml:space="preserve">, as a result of </w:t>
      </w:r>
      <w:r w:rsidR="00317E46" w:rsidRPr="001D5AE2">
        <w:rPr>
          <w:rFonts w:ascii="Tahoma" w:hAnsi="Tahoma" w:cs="Tahoma"/>
          <w:bCs/>
          <w:iCs/>
        </w:rPr>
        <w:t xml:space="preserve">the removal of subsidy, </w:t>
      </w:r>
      <w:r w:rsidR="00EE6BF6" w:rsidRPr="001D5AE2">
        <w:rPr>
          <w:rFonts w:ascii="Tahoma" w:hAnsi="Tahoma" w:cs="Tahoma"/>
          <w:bCs/>
          <w:iCs/>
        </w:rPr>
        <w:t>devaluation of the national currency</w:t>
      </w:r>
      <w:r w:rsidR="007413AA" w:rsidRPr="001D5AE2">
        <w:rPr>
          <w:rFonts w:ascii="Tahoma" w:hAnsi="Tahoma" w:cs="Tahoma"/>
          <w:bCs/>
          <w:iCs/>
        </w:rPr>
        <w:t xml:space="preserve">, </w:t>
      </w:r>
      <w:r w:rsidR="00F67826" w:rsidRPr="001D5AE2">
        <w:rPr>
          <w:rFonts w:ascii="Tahoma" w:hAnsi="Tahoma" w:cs="Tahoma"/>
          <w:bCs/>
          <w:iCs/>
        </w:rPr>
        <w:t xml:space="preserve">and also </w:t>
      </w:r>
      <w:r w:rsidR="007413AA" w:rsidRPr="001D5AE2">
        <w:rPr>
          <w:rFonts w:ascii="Tahoma" w:hAnsi="Tahoma" w:cs="Tahoma"/>
          <w:bCs/>
          <w:iCs/>
        </w:rPr>
        <w:t>high inflation</w:t>
      </w:r>
      <w:r w:rsidR="00035133" w:rsidRPr="001D5AE2">
        <w:rPr>
          <w:rFonts w:ascii="Tahoma" w:hAnsi="Tahoma" w:cs="Tahoma"/>
          <w:bCs/>
          <w:iCs/>
        </w:rPr>
        <w:t xml:space="preserve"> in the country</w:t>
      </w:r>
      <w:r w:rsidRPr="001D5AE2">
        <w:rPr>
          <w:rFonts w:ascii="Tahoma" w:hAnsi="Tahoma" w:cs="Tahoma"/>
          <w:bCs/>
          <w:iCs/>
        </w:rPr>
        <w:t>, the personnel cost is projected</w:t>
      </w:r>
      <w:r w:rsidR="002E7905" w:rsidRPr="001D5AE2">
        <w:rPr>
          <w:rFonts w:ascii="Tahoma" w:hAnsi="Tahoma" w:cs="Tahoma"/>
          <w:bCs/>
          <w:iCs/>
        </w:rPr>
        <w:t xml:space="preserve"> </w:t>
      </w:r>
      <w:r w:rsidR="00E43701" w:rsidRPr="001D5AE2">
        <w:rPr>
          <w:rFonts w:ascii="Tahoma" w:hAnsi="Tahoma" w:cs="Tahoma"/>
          <w:bCs/>
          <w:iCs/>
        </w:rPr>
        <w:t>at</w:t>
      </w:r>
      <w:r w:rsidR="002E7905" w:rsidRPr="001D5AE2">
        <w:rPr>
          <w:rFonts w:ascii="Tahoma" w:hAnsi="Tahoma" w:cs="Tahoma"/>
          <w:bCs/>
          <w:iCs/>
        </w:rPr>
        <w:t xml:space="preserve"> N</w:t>
      </w:r>
      <w:r w:rsidR="00335F6F" w:rsidRPr="001D5AE2">
        <w:rPr>
          <w:rFonts w:ascii="Tahoma" w:hAnsi="Tahoma" w:cs="Tahoma"/>
          <w:bCs/>
          <w:iCs/>
        </w:rPr>
        <w:t>40</w:t>
      </w:r>
      <w:proofErr w:type="gramStart"/>
      <w:r w:rsidR="00335F6F" w:rsidRPr="001D5AE2">
        <w:rPr>
          <w:rFonts w:ascii="Tahoma" w:hAnsi="Tahoma" w:cs="Tahoma"/>
          <w:bCs/>
          <w:iCs/>
        </w:rPr>
        <w:t>,321</w:t>
      </w:r>
      <w:proofErr w:type="gramEnd"/>
      <w:r w:rsidR="00335F6F" w:rsidRPr="001D5AE2">
        <w:rPr>
          <w:rFonts w:ascii="Tahoma" w:hAnsi="Tahoma" w:cs="Tahoma"/>
          <w:bCs/>
          <w:iCs/>
        </w:rPr>
        <w:t xml:space="preserve"> million in 2024, N50,</w:t>
      </w:r>
      <w:r w:rsidR="00A9216D" w:rsidRPr="001D5AE2">
        <w:rPr>
          <w:rFonts w:ascii="Tahoma" w:hAnsi="Tahoma" w:cs="Tahoma"/>
          <w:bCs/>
          <w:iCs/>
        </w:rPr>
        <w:t xml:space="preserve">690 million in </w:t>
      </w:r>
      <w:r w:rsidR="00EF627C" w:rsidRPr="001D5AE2">
        <w:rPr>
          <w:rFonts w:ascii="Tahoma" w:hAnsi="Tahoma" w:cs="Tahoma"/>
          <w:bCs/>
          <w:iCs/>
        </w:rPr>
        <w:t xml:space="preserve">2027, N51,333 million in </w:t>
      </w:r>
      <w:r w:rsidR="00B75550" w:rsidRPr="001D5AE2">
        <w:rPr>
          <w:rFonts w:ascii="Tahoma" w:hAnsi="Tahoma" w:cs="Tahoma"/>
          <w:bCs/>
          <w:iCs/>
        </w:rPr>
        <w:t>2030 and N58,666 million in 2033</w:t>
      </w:r>
      <w:r w:rsidRPr="001D5AE2">
        <w:rPr>
          <w:rFonts w:ascii="Tahoma" w:hAnsi="Tahoma" w:cs="Tahoma"/>
          <w:bCs/>
          <w:iCs/>
        </w:rPr>
        <w:t xml:space="preserve"> respectively. </w:t>
      </w:r>
    </w:p>
    <w:p w14:paraId="0BE2E94A" w14:textId="356DAF63" w:rsidR="003227EA" w:rsidRPr="001D5AE2" w:rsidRDefault="003227EA" w:rsidP="003227EA">
      <w:pPr>
        <w:spacing w:line="360" w:lineRule="auto"/>
        <w:jc w:val="both"/>
        <w:rPr>
          <w:rFonts w:ascii="Tahoma" w:hAnsi="Tahoma" w:cs="Tahoma"/>
          <w:bCs/>
          <w:iCs/>
        </w:rPr>
      </w:pPr>
      <w:r w:rsidRPr="001D5AE2">
        <w:rPr>
          <w:rFonts w:ascii="Tahoma" w:hAnsi="Tahoma" w:cs="Tahoma"/>
          <w:bCs/>
          <w:iCs/>
        </w:rPr>
        <w:t xml:space="preserve">Overheads – </w:t>
      </w:r>
      <w:r w:rsidR="003E7C3E" w:rsidRPr="001D5AE2">
        <w:rPr>
          <w:rFonts w:ascii="Tahoma" w:hAnsi="Tahoma" w:cs="Tahoma"/>
          <w:bCs/>
          <w:iCs/>
        </w:rPr>
        <w:t xml:space="preserve">the </w:t>
      </w:r>
      <w:r w:rsidR="004C23E7" w:rsidRPr="001D5AE2">
        <w:rPr>
          <w:rFonts w:ascii="Tahoma" w:hAnsi="Tahoma" w:cs="Tahoma"/>
          <w:bCs/>
          <w:iCs/>
        </w:rPr>
        <w:t>actu</w:t>
      </w:r>
      <w:r w:rsidR="00944ADB" w:rsidRPr="001D5AE2">
        <w:rPr>
          <w:rFonts w:ascii="Tahoma" w:hAnsi="Tahoma" w:cs="Tahoma"/>
          <w:bCs/>
          <w:iCs/>
        </w:rPr>
        <w:t xml:space="preserve">al </w:t>
      </w:r>
      <w:r w:rsidR="00DC7DD5" w:rsidRPr="001D5AE2">
        <w:rPr>
          <w:rFonts w:ascii="Tahoma" w:hAnsi="Tahoma" w:cs="Tahoma"/>
          <w:bCs/>
          <w:iCs/>
        </w:rPr>
        <w:t xml:space="preserve">overheads cost stood at </w:t>
      </w:r>
      <w:r w:rsidR="003263E1" w:rsidRPr="001D5AE2">
        <w:rPr>
          <w:rFonts w:ascii="Tahoma" w:hAnsi="Tahoma" w:cs="Tahoma"/>
          <w:bCs/>
          <w:iCs/>
        </w:rPr>
        <w:t>N</w:t>
      </w:r>
      <w:r w:rsidR="00F05E62" w:rsidRPr="001D5AE2">
        <w:rPr>
          <w:rFonts w:ascii="Tahoma" w:hAnsi="Tahoma" w:cs="Tahoma"/>
          <w:bCs/>
          <w:iCs/>
        </w:rPr>
        <w:t>14,548 million</w:t>
      </w:r>
      <w:r w:rsidR="00944ADB" w:rsidRPr="001D5AE2">
        <w:rPr>
          <w:rFonts w:ascii="Tahoma" w:hAnsi="Tahoma" w:cs="Tahoma"/>
          <w:bCs/>
          <w:iCs/>
        </w:rPr>
        <w:t xml:space="preserve"> in 2019</w:t>
      </w:r>
      <w:r w:rsidR="00F05E62" w:rsidRPr="001D5AE2">
        <w:rPr>
          <w:rFonts w:ascii="Tahoma" w:hAnsi="Tahoma" w:cs="Tahoma"/>
          <w:bCs/>
          <w:iCs/>
        </w:rPr>
        <w:t>, N9,643 million</w:t>
      </w:r>
      <w:r w:rsidR="00944ADB" w:rsidRPr="001D5AE2">
        <w:rPr>
          <w:rFonts w:ascii="Tahoma" w:hAnsi="Tahoma" w:cs="Tahoma"/>
          <w:bCs/>
          <w:iCs/>
        </w:rPr>
        <w:t xml:space="preserve"> in 2020</w:t>
      </w:r>
      <w:r w:rsidR="00F05E62" w:rsidRPr="001D5AE2">
        <w:rPr>
          <w:rFonts w:ascii="Tahoma" w:hAnsi="Tahoma" w:cs="Tahoma"/>
          <w:bCs/>
          <w:iCs/>
        </w:rPr>
        <w:t xml:space="preserve">, </w:t>
      </w:r>
      <w:r w:rsidR="002E787F" w:rsidRPr="001D5AE2">
        <w:rPr>
          <w:rFonts w:ascii="Tahoma" w:hAnsi="Tahoma" w:cs="Tahoma"/>
          <w:bCs/>
          <w:iCs/>
        </w:rPr>
        <w:t xml:space="preserve">N10,376 million </w:t>
      </w:r>
      <w:r w:rsidR="00944ADB" w:rsidRPr="001D5AE2">
        <w:rPr>
          <w:rFonts w:ascii="Tahoma" w:hAnsi="Tahoma" w:cs="Tahoma"/>
          <w:bCs/>
          <w:iCs/>
        </w:rPr>
        <w:t>in 2021</w:t>
      </w:r>
      <w:r w:rsidR="008043E4" w:rsidRPr="001D5AE2">
        <w:rPr>
          <w:rFonts w:ascii="Tahoma" w:hAnsi="Tahoma" w:cs="Tahoma"/>
          <w:bCs/>
          <w:iCs/>
        </w:rPr>
        <w:t xml:space="preserve">, </w:t>
      </w:r>
      <w:r w:rsidR="002E787F" w:rsidRPr="001D5AE2">
        <w:rPr>
          <w:rFonts w:ascii="Tahoma" w:hAnsi="Tahoma" w:cs="Tahoma"/>
          <w:bCs/>
          <w:iCs/>
        </w:rPr>
        <w:t>N10,778 million in 2022</w:t>
      </w:r>
      <w:r w:rsidR="008043E4" w:rsidRPr="001D5AE2">
        <w:rPr>
          <w:rFonts w:ascii="Tahoma" w:hAnsi="Tahoma" w:cs="Tahoma"/>
          <w:bCs/>
          <w:iCs/>
        </w:rPr>
        <w:t xml:space="preserve">, and </w:t>
      </w:r>
      <w:r w:rsidR="00C96D35" w:rsidRPr="001D5AE2">
        <w:rPr>
          <w:rFonts w:ascii="Tahoma" w:hAnsi="Tahoma" w:cs="Tahoma"/>
          <w:bCs/>
          <w:iCs/>
        </w:rPr>
        <w:t xml:space="preserve">N19,674 in 2023 </w:t>
      </w:r>
      <w:r w:rsidR="002E787F" w:rsidRPr="001D5AE2">
        <w:rPr>
          <w:rFonts w:ascii="Tahoma" w:hAnsi="Tahoma" w:cs="Tahoma"/>
          <w:bCs/>
          <w:iCs/>
        </w:rPr>
        <w:t>respectively</w:t>
      </w:r>
      <w:r w:rsidR="00B617AB" w:rsidRPr="001D5AE2">
        <w:rPr>
          <w:rFonts w:ascii="Tahoma" w:hAnsi="Tahoma" w:cs="Tahoma"/>
          <w:bCs/>
          <w:iCs/>
        </w:rPr>
        <w:t xml:space="preserve">. </w:t>
      </w:r>
      <w:r w:rsidRPr="001D5AE2">
        <w:rPr>
          <w:rFonts w:ascii="Tahoma" w:hAnsi="Tahoma" w:cs="Tahoma"/>
          <w:bCs/>
          <w:iCs/>
        </w:rPr>
        <w:t xml:space="preserve">Moving </w:t>
      </w:r>
      <w:r w:rsidR="002A387C" w:rsidRPr="001D5AE2">
        <w:rPr>
          <w:rFonts w:ascii="Tahoma" w:hAnsi="Tahoma" w:cs="Tahoma"/>
          <w:bCs/>
          <w:iCs/>
        </w:rPr>
        <w:t>the average</w:t>
      </w:r>
      <w:r w:rsidRPr="001D5AE2">
        <w:rPr>
          <w:rFonts w:ascii="Tahoma" w:hAnsi="Tahoma" w:cs="Tahoma"/>
          <w:bCs/>
          <w:iCs/>
        </w:rPr>
        <w:t xml:space="preserve"> excluding outlier is used to forecast overheads because the expected growth rate for 202</w:t>
      </w:r>
      <w:r w:rsidR="004D3A2D" w:rsidRPr="001D5AE2">
        <w:rPr>
          <w:rFonts w:ascii="Tahoma" w:hAnsi="Tahoma" w:cs="Tahoma"/>
          <w:bCs/>
          <w:iCs/>
        </w:rPr>
        <w:t>4</w:t>
      </w:r>
      <w:r w:rsidRPr="001D5AE2">
        <w:rPr>
          <w:rFonts w:ascii="Tahoma" w:hAnsi="Tahoma" w:cs="Tahoma"/>
          <w:bCs/>
          <w:iCs/>
        </w:rPr>
        <w:t>-20</w:t>
      </w:r>
      <w:r w:rsidR="00361CDC" w:rsidRPr="001D5AE2">
        <w:rPr>
          <w:rFonts w:ascii="Tahoma" w:hAnsi="Tahoma" w:cs="Tahoma"/>
          <w:bCs/>
          <w:iCs/>
        </w:rPr>
        <w:t>3</w:t>
      </w:r>
      <w:r w:rsidR="004D3A2D" w:rsidRPr="001D5AE2">
        <w:rPr>
          <w:rFonts w:ascii="Tahoma" w:hAnsi="Tahoma" w:cs="Tahoma"/>
          <w:bCs/>
          <w:iCs/>
        </w:rPr>
        <w:t>3</w:t>
      </w:r>
      <w:r w:rsidRPr="001D5AE2">
        <w:rPr>
          <w:rFonts w:ascii="Tahoma" w:hAnsi="Tahoma" w:cs="Tahoma"/>
          <w:bCs/>
          <w:iCs/>
        </w:rPr>
        <w:t xml:space="preserve"> is expected to substantially follow the trend recorded in the past five years</w:t>
      </w:r>
      <w:r w:rsidR="008D181B" w:rsidRPr="001D5AE2">
        <w:rPr>
          <w:rFonts w:ascii="Tahoma" w:hAnsi="Tahoma" w:cs="Tahoma"/>
          <w:bCs/>
          <w:iCs/>
        </w:rPr>
        <w:t xml:space="preserve">, which was </w:t>
      </w:r>
      <w:r w:rsidR="00361CDC" w:rsidRPr="001D5AE2">
        <w:rPr>
          <w:rFonts w:ascii="Tahoma" w:hAnsi="Tahoma" w:cs="Tahoma"/>
          <w:bCs/>
          <w:iCs/>
        </w:rPr>
        <w:t>estimated at N</w:t>
      </w:r>
      <w:r w:rsidR="001C3CD3" w:rsidRPr="001D5AE2">
        <w:rPr>
          <w:rFonts w:ascii="Tahoma" w:hAnsi="Tahoma" w:cs="Tahoma"/>
          <w:bCs/>
          <w:iCs/>
        </w:rPr>
        <w:t>22,</w:t>
      </w:r>
      <w:r w:rsidR="008D181B" w:rsidRPr="001D5AE2">
        <w:rPr>
          <w:rFonts w:ascii="Tahoma" w:hAnsi="Tahoma" w:cs="Tahoma"/>
          <w:bCs/>
          <w:iCs/>
        </w:rPr>
        <w:t xml:space="preserve">810 million averagely over the </w:t>
      </w:r>
      <w:r w:rsidR="005E6706" w:rsidRPr="001D5AE2">
        <w:rPr>
          <w:rFonts w:ascii="Tahoma" w:hAnsi="Tahoma" w:cs="Tahoma"/>
          <w:bCs/>
          <w:iCs/>
        </w:rPr>
        <w:t>projected period</w:t>
      </w:r>
      <w:r w:rsidRPr="001D5AE2">
        <w:rPr>
          <w:rFonts w:ascii="Tahoma" w:hAnsi="Tahoma" w:cs="Tahoma"/>
          <w:bCs/>
          <w:iCs/>
        </w:rPr>
        <w:t>.</w:t>
      </w:r>
    </w:p>
    <w:p w14:paraId="1B1C6E03" w14:textId="3F744781" w:rsidR="003227EA" w:rsidRPr="001D5AE2" w:rsidRDefault="003227EA" w:rsidP="003227EA">
      <w:pPr>
        <w:spacing w:line="360" w:lineRule="auto"/>
        <w:jc w:val="both"/>
        <w:rPr>
          <w:rFonts w:ascii="Tahoma" w:hAnsi="Tahoma" w:cs="Tahoma"/>
          <w:bCs/>
          <w:iCs/>
        </w:rPr>
      </w:pPr>
      <w:r w:rsidRPr="001D5AE2">
        <w:rPr>
          <w:rFonts w:ascii="Tahoma" w:hAnsi="Tahoma" w:cs="Tahoma"/>
          <w:bCs/>
          <w:iCs/>
        </w:rPr>
        <w:t>Total Debt Service – is based on the projected principal and interest repayments for 202</w:t>
      </w:r>
      <w:r w:rsidR="00736B3B" w:rsidRPr="001D5AE2">
        <w:rPr>
          <w:rFonts w:ascii="Tahoma" w:hAnsi="Tahoma" w:cs="Tahoma"/>
          <w:bCs/>
          <w:iCs/>
        </w:rPr>
        <w:t>4</w:t>
      </w:r>
      <w:r w:rsidR="00AC52C5" w:rsidRPr="001D5AE2">
        <w:rPr>
          <w:rFonts w:ascii="Tahoma" w:hAnsi="Tahoma" w:cs="Tahoma"/>
          <w:bCs/>
          <w:iCs/>
        </w:rPr>
        <w:t xml:space="preserve"> to 203</w:t>
      </w:r>
      <w:r w:rsidR="00736B3B" w:rsidRPr="001D5AE2">
        <w:rPr>
          <w:rFonts w:ascii="Tahoma" w:hAnsi="Tahoma" w:cs="Tahoma"/>
          <w:bCs/>
          <w:iCs/>
        </w:rPr>
        <w:t>3</w:t>
      </w:r>
      <w:r w:rsidRPr="001D5AE2">
        <w:rPr>
          <w:rFonts w:ascii="Tahoma" w:hAnsi="Tahoma" w:cs="Tahoma"/>
          <w:bCs/>
          <w:iCs/>
        </w:rPr>
        <w:t>. Hence, based on the projection</w:t>
      </w:r>
      <w:r w:rsidR="00D5470D" w:rsidRPr="001D5AE2">
        <w:rPr>
          <w:rFonts w:ascii="Tahoma" w:hAnsi="Tahoma" w:cs="Tahoma"/>
          <w:bCs/>
          <w:iCs/>
        </w:rPr>
        <w:t>, the public</w:t>
      </w:r>
      <w:r w:rsidRPr="001D5AE2">
        <w:rPr>
          <w:rFonts w:ascii="Tahoma" w:hAnsi="Tahoma" w:cs="Tahoma"/>
          <w:bCs/>
          <w:iCs/>
        </w:rPr>
        <w:t xml:space="preserve"> debt service will remain largely stable with minimal growth over the medium term.</w:t>
      </w:r>
    </w:p>
    <w:p w14:paraId="2CB5306C" w14:textId="16BAC8E5" w:rsidR="003227EA" w:rsidRPr="001D5AE2" w:rsidRDefault="003227EA" w:rsidP="003227EA">
      <w:pPr>
        <w:spacing w:line="360" w:lineRule="auto"/>
        <w:jc w:val="both"/>
        <w:rPr>
          <w:rFonts w:ascii="Tahoma" w:hAnsi="Tahoma" w:cs="Tahoma"/>
          <w:bCs/>
          <w:iCs/>
        </w:rPr>
      </w:pPr>
      <w:r w:rsidRPr="001D5AE2">
        <w:rPr>
          <w:rFonts w:ascii="Tahoma" w:hAnsi="Tahoma" w:cs="Tahoma"/>
          <w:bCs/>
          <w:iCs/>
        </w:rPr>
        <w:t xml:space="preserve">Other Recurrent Expenditures – other recurrent expenditure comprises Social Contribution and Social Benefits – Pensions and gratuity payments </w:t>
      </w:r>
      <w:r w:rsidR="00AC3A76" w:rsidRPr="001D5AE2">
        <w:rPr>
          <w:rFonts w:ascii="Tahoma" w:hAnsi="Tahoma" w:cs="Tahoma"/>
          <w:bCs/>
          <w:iCs/>
        </w:rPr>
        <w:t xml:space="preserve">projected at N18,279 million in 2024, </w:t>
      </w:r>
      <w:r w:rsidR="001840F8" w:rsidRPr="001D5AE2">
        <w:rPr>
          <w:rFonts w:ascii="Tahoma" w:hAnsi="Tahoma" w:cs="Tahoma"/>
          <w:bCs/>
          <w:iCs/>
        </w:rPr>
        <w:t xml:space="preserve">N25,005 million in 2027 and N27,829 million in </w:t>
      </w:r>
      <w:r w:rsidR="00CB1A07" w:rsidRPr="001D5AE2">
        <w:rPr>
          <w:rFonts w:ascii="Tahoma" w:hAnsi="Tahoma" w:cs="Tahoma"/>
          <w:bCs/>
          <w:iCs/>
        </w:rPr>
        <w:t>2033.</w:t>
      </w:r>
    </w:p>
    <w:p w14:paraId="74BD7AB3" w14:textId="28894ACC" w:rsidR="003227EA" w:rsidRPr="001D5AE2" w:rsidRDefault="003227EA" w:rsidP="00E43701">
      <w:pPr>
        <w:spacing w:line="360" w:lineRule="auto"/>
        <w:jc w:val="both"/>
        <w:rPr>
          <w:rFonts w:ascii="Tahoma" w:hAnsi="Tahoma" w:cs="Tahoma"/>
          <w:b/>
          <w:iCs/>
        </w:rPr>
      </w:pPr>
      <w:r w:rsidRPr="001D5AE2">
        <w:rPr>
          <w:rFonts w:ascii="Tahoma" w:hAnsi="Tahoma" w:cs="Tahoma"/>
          <w:bCs/>
          <w:iCs/>
        </w:rPr>
        <w:t>Capital Expenditure - is based on the balance from the recurrent account plus capital receipts</w:t>
      </w:r>
      <w:r w:rsidR="0074616B" w:rsidRPr="001D5AE2">
        <w:rPr>
          <w:rFonts w:ascii="Tahoma" w:hAnsi="Tahoma" w:cs="Tahoma"/>
          <w:bCs/>
          <w:iCs/>
        </w:rPr>
        <w:t>, and less contingency reserve</w:t>
      </w:r>
      <w:r w:rsidRPr="001D5AE2">
        <w:rPr>
          <w:rFonts w:ascii="Tahoma" w:hAnsi="Tahoma" w:cs="Tahoma"/>
          <w:bCs/>
          <w:iCs/>
        </w:rPr>
        <w:t xml:space="preserve"> as outlined above. </w:t>
      </w:r>
      <w:r w:rsidR="00F00A97" w:rsidRPr="001D5AE2">
        <w:rPr>
          <w:rFonts w:ascii="Tahoma" w:hAnsi="Tahoma" w:cs="Tahoma"/>
          <w:bCs/>
          <w:iCs/>
        </w:rPr>
        <w:t>Capital expenditure was estimated at N</w:t>
      </w:r>
      <w:r w:rsidR="00DC0217" w:rsidRPr="001D5AE2">
        <w:rPr>
          <w:rFonts w:ascii="Tahoma" w:hAnsi="Tahoma" w:cs="Tahoma"/>
          <w:bCs/>
          <w:iCs/>
        </w:rPr>
        <w:t>1</w:t>
      </w:r>
      <w:r w:rsidR="004E48DD" w:rsidRPr="001D5AE2">
        <w:rPr>
          <w:rFonts w:ascii="Tahoma" w:hAnsi="Tahoma" w:cs="Tahoma"/>
          <w:bCs/>
          <w:iCs/>
        </w:rPr>
        <w:t xml:space="preserve">46,173 </w:t>
      </w:r>
      <w:r w:rsidR="00F00A97" w:rsidRPr="001D5AE2">
        <w:rPr>
          <w:rFonts w:ascii="Tahoma" w:hAnsi="Tahoma" w:cs="Tahoma"/>
          <w:bCs/>
          <w:iCs/>
        </w:rPr>
        <w:t>million in 202</w:t>
      </w:r>
      <w:r w:rsidR="00BA1077" w:rsidRPr="001D5AE2">
        <w:rPr>
          <w:rFonts w:ascii="Tahoma" w:hAnsi="Tahoma" w:cs="Tahoma"/>
          <w:bCs/>
          <w:iCs/>
        </w:rPr>
        <w:t>4</w:t>
      </w:r>
      <w:r w:rsidR="00F00A97" w:rsidRPr="001D5AE2">
        <w:rPr>
          <w:rFonts w:ascii="Tahoma" w:hAnsi="Tahoma" w:cs="Tahoma"/>
          <w:bCs/>
          <w:iCs/>
        </w:rPr>
        <w:t>, N</w:t>
      </w:r>
      <w:r w:rsidR="00EB58EC" w:rsidRPr="001D5AE2">
        <w:rPr>
          <w:rFonts w:ascii="Tahoma" w:hAnsi="Tahoma" w:cs="Tahoma"/>
          <w:bCs/>
          <w:iCs/>
        </w:rPr>
        <w:t>1</w:t>
      </w:r>
      <w:r w:rsidR="004E48DD" w:rsidRPr="001D5AE2">
        <w:rPr>
          <w:rFonts w:ascii="Tahoma" w:hAnsi="Tahoma" w:cs="Tahoma"/>
          <w:bCs/>
          <w:iCs/>
        </w:rPr>
        <w:t xml:space="preserve">32,700 </w:t>
      </w:r>
      <w:r w:rsidR="00F00A97" w:rsidRPr="001D5AE2">
        <w:rPr>
          <w:rFonts w:ascii="Tahoma" w:hAnsi="Tahoma" w:cs="Tahoma"/>
          <w:bCs/>
          <w:iCs/>
        </w:rPr>
        <w:t>million in 202</w:t>
      </w:r>
      <w:r w:rsidR="00EB58EC" w:rsidRPr="001D5AE2">
        <w:rPr>
          <w:rFonts w:ascii="Tahoma" w:hAnsi="Tahoma" w:cs="Tahoma"/>
          <w:bCs/>
          <w:iCs/>
        </w:rPr>
        <w:t>5</w:t>
      </w:r>
      <w:r w:rsidR="00F00A97" w:rsidRPr="001D5AE2">
        <w:rPr>
          <w:rFonts w:ascii="Tahoma" w:hAnsi="Tahoma" w:cs="Tahoma"/>
          <w:bCs/>
          <w:iCs/>
        </w:rPr>
        <w:t>, N</w:t>
      </w:r>
      <w:r w:rsidR="003E536A" w:rsidRPr="001D5AE2">
        <w:rPr>
          <w:rFonts w:ascii="Tahoma" w:hAnsi="Tahoma" w:cs="Tahoma"/>
          <w:bCs/>
          <w:iCs/>
        </w:rPr>
        <w:t xml:space="preserve">148,400 </w:t>
      </w:r>
      <w:r w:rsidR="009E4965" w:rsidRPr="001D5AE2">
        <w:rPr>
          <w:rFonts w:ascii="Tahoma" w:hAnsi="Tahoma" w:cs="Tahoma"/>
          <w:bCs/>
          <w:iCs/>
        </w:rPr>
        <w:t xml:space="preserve">million in 2026, </w:t>
      </w:r>
      <w:r w:rsidR="00995A20" w:rsidRPr="001D5AE2">
        <w:rPr>
          <w:rFonts w:ascii="Tahoma" w:hAnsi="Tahoma" w:cs="Tahoma"/>
          <w:bCs/>
          <w:iCs/>
        </w:rPr>
        <w:t>N1</w:t>
      </w:r>
      <w:r w:rsidR="003E536A" w:rsidRPr="001D5AE2">
        <w:rPr>
          <w:rFonts w:ascii="Tahoma" w:hAnsi="Tahoma" w:cs="Tahoma"/>
          <w:bCs/>
          <w:iCs/>
        </w:rPr>
        <w:t xml:space="preserve">55,020 million </w:t>
      </w:r>
      <w:r w:rsidR="00995A20" w:rsidRPr="001D5AE2">
        <w:rPr>
          <w:rFonts w:ascii="Tahoma" w:hAnsi="Tahoma" w:cs="Tahoma"/>
          <w:bCs/>
          <w:iCs/>
        </w:rPr>
        <w:t>in 2027, N</w:t>
      </w:r>
      <w:r w:rsidR="00A24CD1" w:rsidRPr="001D5AE2">
        <w:rPr>
          <w:rFonts w:ascii="Tahoma" w:hAnsi="Tahoma" w:cs="Tahoma"/>
          <w:bCs/>
          <w:iCs/>
        </w:rPr>
        <w:t>1</w:t>
      </w:r>
      <w:r w:rsidR="00D84676" w:rsidRPr="001D5AE2">
        <w:rPr>
          <w:rFonts w:ascii="Tahoma" w:hAnsi="Tahoma" w:cs="Tahoma"/>
          <w:bCs/>
          <w:iCs/>
        </w:rPr>
        <w:t xml:space="preserve">67,641 </w:t>
      </w:r>
      <w:r w:rsidR="00A24CD1" w:rsidRPr="001D5AE2">
        <w:rPr>
          <w:rFonts w:ascii="Tahoma" w:hAnsi="Tahoma" w:cs="Tahoma"/>
          <w:bCs/>
          <w:iCs/>
        </w:rPr>
        <w:t xml:space="preserve">million in 2028, </w:t>
      </w:r>
      <w:r w:rsidR="00675483" w:rsidRPr="001D5AE2">
        <w:rPr>
          <w:rFonts w:ascii="Tahoma" w:hAnsi="Tahoma" w:cs="Tahoma"/>
          <w:bCs/>
          <w:iCs/>
        </w:rPr>
        <w:t>N1</w:t>
      </w:r>
      <w:r w:rsidR="00D84676" w:rsidRPr="001D5AE2">
        <w:rPr>
          <w:rFonts w:ascii="Tahoma" w:hAnsi="Tahoma" w:cs="Tahoma"/>
          <w:bCs/>
          <w:iCs/>
        </w:rPr>
        <w:t xml:space="preserve">86,262 </w:t>
      </w:r>
      <w:r w:rsidR="007B7CBC" w:rsidRPr="001D5AE2">
        <w:rPr>
          <w:rFonts w:ascii="Tahoma" w:hAnsi="Tahoma" w:cs="Tahoma"/>
          <w:bCs/>
          <w:iCs/>
        </w:rPr>
        <w:t>million in 20</w:t>
      </w:r>
      <w:r w:rsidR="00D01370" w:rsidRPr="001D5AE2">
        <w:rPr>
          <w:rFonts w:ascii="Tahoma" w:hAnsi="Tahoma" w:cs="Tahoma"/>
          <w:bCs/>
          <w:iCs/>
        </w:rPr>
        <w:t xml:space="preserve">29, </w:t>
      </w:r>
      <w:r w:rsidR="0016463F" w:rsidRPr="001D5AE2">
        <w:rPr>
          <w:rFonts w:ascii="Tahoma" w:hAnsi="Tahoma" w:cs="Tahoma"/>
          <w:bCs/>
          <w:iCs/>
        </w:rPr>
        <w:t xml:space="preserve"> </w:t>
      </w:r>
      <w:r w:rsidR="0086346B" w:rsidRPr="001D5AE2">
        <w:rPr>
          <w:rFonts w:ascii="Tahoma" w:hAnsi="Tahoma" w:cs="Tahoma"/>
          <w:bCs/>
          <w:iCs/>
        </w:rPr>
        <w:lastRenderedPageBreak/>
        <w:t>N</w:t>
      </w:r>
      <w:r w:rsidR="007C4446" w:rsidRPr="001D5AE2">
        <w:rPr>
          <w:rFonts w:ascii="Tahoma" w:hAnsi="Tahoma" w:cs="Tahoma"/>
          <w:bCs/>
          <w:iCs/>
        </w:rPr>
        <w:t xml:space="preserve">218,883 </w:t>
      </w:r>
      <w:r w:rsidR="00F502F5" w:rsidRPr="001D5AE2">
        <w:rPr>
          <w:rFonts w:ascii="Tahoma" w:hAnsi="Tahoma" w:cs="Tahoma"/>
          <w:bCs/>
          <w:iCs/>
        </w:rPr>
        <w:t>million in 2030</w:t>
      </w:r>
      <w:r w:rsidR="00726234" w:rsidRPr="001D5AE2">
        <w:rPr>
          <w:rFonts w:ascii="Tahoma" w:hAnsi="Tahoma" w:cs="Tahoma"/>
          <w:bCs/>
          <w:iCs/>
        </w:rPr>
        <w:t>, N</w:t>
      </w:r>
      <w:r w:rsidR="007C4446" w:rsidRPr="001D5AE2">
        <w:rPr>
          <w:rFonts w:ascii="Tahoma" w:hAnsi="Tahoma" w:cs="Tahoma"/>
          <w:bCs/>
          <w:iCs/>
        </w:rPr>
        <w:t>223,</w:t>
      </w:r>
      <w:r w:rsidR="002134C0" w:rsidRPr="001D5AE2">
        <w:rPr>
          <w:rFonts w:ascii="Tahoma" w:hAnsi="Tahoma" w:cs="Tahoma"/>
          <w:bCs/>
          <w:iCs/>
        </w:rPr>
        <w:t xml:space="preserve">504 </w:t>
      </w:r>
      <w:r w:rsidR="00B01017" w:rsidRPr="001D5AE2">
        <w:rPr>
          <w:rFonts w:ascii="Tahoma" w:hAnsi="Tahoma" w:cs="Tahoma"/>
          <w:bCs/>
          <w:iCs/>
        </w:rPr>
        <w:t>million in 2031</w:t>
      </w:r>
      <w:r w:rsidR="00CA0249" w:rsidRPr="001D5AE2">
        <w:rPr>
          <w:rFonts w:ascii="Tahoma" w:hAnsi="Tahoma" w:cs="Tahoma"/>
          <w:bCs/>
          <w:iCs/>
        </w:rPr>
        <w:t>, N</w:t>
      </w:r>
      <w:r w:rsidR="002134C0" w:rsidRPr="001D5AE2">
        <w:rPr>
          <w:rFonts w:ascii="Tahoma" w:hAnsi="Tahoma" w:cs="Tahoma"/>
          <w:bCs/>
          <w:iCs/>
        </w:rPr>
        <w:t xml:space="preserve">242,124 </w:t>
      </w:r>
      <w:r w:rsidR="00CA0249" w:rsidRPr="001D5AE2">
        <w:rPr>
          <w:rFonts w:ascii="Tahoma" w:hAnsi="Tahoma" w:cs="Tahoma"/>
          <w:bCs/>
          <w:iCs/>
        </w:rPr>
        <w:t>million in 2032,</w:t>
      </w:r>
      <w:r w:rsidR="002134C0" w:rsidRPr="001D5AE2">
        <w:rPr>
          <w:rFonts w:ascii="Tahoma" w:hAnsi="Tahoma" w:cs="Tahoma"/>
          <w:bCs/>
          <w:iCs/>
        </w:rPr>
        <w:t xml:space="preserve"> and N</w:t>
      </w:r>
      <w:r w:rsidR="00A261CD" w:rsidRPr="001D5AE2">
        <w:rPr>
          <w:rFonts w:ascii="Tahoma" w:hAnsi="Tahoma" w:cs="Tahoma"/>
          <w:bCs/>
          <w:iCs/>
        </w:rPr>
        <w:t>260,745 million in 2033</w:t>
      </w:r>
      <w:r w:rsidR="00CA0249" w:rsidRPr="001D5AE2">
        <w:rPr>
          <w:rFonts w:ascii="Tahoma" w:hAnsi="Tahoma" w:cs="Tahoma"/>
          <w:bCs/>
          <w:iCs/>
        </w:rPr>
        <w:t xml:space="preserve"> respectively</w:t>
      </w:r>
      <w:r w:rsidR="00D826C6" w:rsidRPr="001D5AE2">
        <w:rPr>
          <w:rFonts w:ascii="Tahoma" w:hAnsi="Tahoma" w:cs="Tahoma"/>
          <w:bCs/>
          <w:iCs/>
        </w:rPr>
        <w:t>.</w:t>
      </w:r>
    </w:p>
    <w:p w14:paraId="4E62F377" w14:textId="19AB46DC" w:rsidR="003227EA" w:rsidRPr="001D5AE2" w:rsidRDefault="0057247B" w:rsidP="004F08AA">
      <w:pPr>
        <w:spacing w:line="360" w:lineRule="auto"/>
        <w:jc w:val="both"/>
        <w:rPr>
          <w:rFonts w:ascii="Tahoma" w:hAnsi="Tahoma" w:cs="Tahoma"/>
          <w:b/>
          <w:iCs/>
        </w:rPr>
      </w:pPr>
      <w:r w:rsidRPr="001D5AE2">
        <w:rPr>
          <w:noProof/>
        </w:rPr>
        <w:drawing>
          <wp:inline distT="0" distB="0" distL="0" distR="0" wp14:anchorId="3AE1F43D" wp14:editId="4B7383B7">
            <wp:extent cx="5486400" cy="3018155"/>
            <wp:effectExtent l="0" t="0" r="0" b="0"/>
            <wp:docPr id="1511914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77A03181" w14:textId="1067B666" w:rsidR="00856B93" w:rsidRPr="001D5AE2" w:rsidRDefault="004F08AA" w:rsidP="00BD349A">
      <w:pPr>
        <w:spacing w:line="360" w:lineRule="auto"/>
        <w:jc w:val="both"/>
        <w:rPr>
          <w:rFonts w:ascii="Tahoma" w:hAnsi="Tahoma" w:cs="Tahoma"/>
          <w:bCs/>
          <w:iCs/>
        </w:rPr>
      </w:pPr>
      <w:r w:rsidRPr="001D5AE2">
        <w:rPr>
          <w:rFonts w:ascii="Tahoma" w:hAnsi="Tahoma" w:cs="Tahoma"/>
          <w:b/>
          <w:iCs/>
        </w:rPr>
        <w:t>Gross Financing Needs (GFN) - is the sum of budget deficits and funds required to roll over debt that matures over the year.</w:t>
      </w:r>
      <w:r w:rsidR="008A27F3" w:rsidRPr="001D5AE2">
        <w:rPr>
          <w:rFonts w:ascii="Tahoma" w:hAnsi="Tahoma" w:cs="Tahoma"/>
          <w:b/>
          <w:iCs/>
        </w:rPr>
        <w:t xml:space="preserve"> </w:t>
      </w:r>
      <w:r w:rsidR="00856B93" w:rsidRPr="001D5AE2">
        <w:rPr>
          <w:rFonts w:ascii="Tahoma" w:hAnsi="Tahoma" w:cs="Tahoma"/>
          <w:bCs/>
          <w:iCs/>
        </w:rPr>
        <w:t xml:space="preserve">The </w:t>
      </w:r>
      <w:r w:rsidR="008A27F3" w:rsidRPr="001D5AE2">
        <w:rPr>
          <w:rFonts w:ascii="Tahoma" w:hAnsi="Tahoma" w:cs="Tahoma"/>
          <w:bCs/>
          <w:iCs/>
        </w:rPr>
        <w:t xml:space="preserve">GFN for </w:t>
      </w:r>
      <w:r w:rsidR="00865C76" w:rsidRPr="001D5AE2">
        <w:rPr>
          <w:rFonts w:ascii="Tahoma" w:hAnsi="Tahoma" w:cs="Tahoma"/>
          <w:bCs/>
          <w:iCs/>
        </w:rPr>
        <w:t>Kebbi</w:t>
      </w:r>
      <w:r w:rsidR="00856B93" w:rsidRPr="001D5AE2">
        <w:rPr>
          <w:rFonts w:ascii="Tahoma" w:hAnsi="Tahoma" w:cs="Tahoma"/>
          <w:bCs/>
          <w:iCs/>
        </w:rPr>
        <w:t xml:space="preserve"> State 202</w:t>
      </w:r>
      <w:r w:rsidR="00FF023E" w:rsidRPr="001D5AE2">
        <w:rPr>
          <w:rFonts w:ascii="Tahoma" w:hAnsi="Tahoma" w:cs="Tahoma"/>
          <w:bCs/>
          <w:iCs/>
        </w:rPr>
        <w:t>4</w:t>
      </w:r>
      <w:r w:rsidR="00856B93" w:rsidRPr="001D5AE2">
        <w:rPr>
          <w:rFonts w:ascii="Tahoma" w:hAnsi="Tahoma" w:cs="Tahoma"/>
          <w:bCs/>
          <w:iCs/>
        </w:rPr>
        <w:t>-202</w:t>
      </w:r>
      <w:r w:rsidR="00FF023E" w:rsidRPr="001D5AE2">
        <w:rPr>
          <w:rFonts w:ascii="Tahoma" w:hAnsi="Tahoma" w:cs="Tahoma"/>
          <w:bCs/>
          <w:iCs/>
        </w:rPr>
        <w:t>6</w:t>
      </w:r>
      <w:r w:rsidR="008A27F3" w:rsidRPr="001D5AE2">
        <w:rPr>
          <w:rFonts w:ascii="Tahoma" w:hAnsi="Tahoma" w:cs="Tahoma"/>
          <w:bCs/>
          <w:iCs/>
        </w:rPr>
        <w:t xml:space="preserve"> </w:t>
      </w:r>
      <w:r w:rsidR="00856B93" w:rsidRPr="001D5AE2">
        <w:rPr>
          <w:rFonts w:ascii="Tahoma" w:hAnsi="Tahoma" w:cs="Tahoma"/>
          <w:bCs/>
          <w:iCs/>
        </w:rPr>
        <w:t xml:space="preserve">estimate </w:t>
      </w:r>
      <w:r w:rsidR="008A27F3" w:rsidRPr="001D5AE2">
        <w:rPr>
          <w:rFonts w:ascii="Tahoma" w:hAnsi="Tahoma" w:cs="Tahoma"/>
          <w:bCs/>
          <w:iCs/>
        </w:rPr>
        <w:t xml:space="preserve">at </w:t>
      </w:r>
      <w:r w:rsidR="00FF023E" w:rsidRPr="001D5AE2">
        <w:rPr>
          <w:rFonts w:ascii="Tahoma" w:hAnsi="Tahoma" w:cs="Tahoma"/>
          <w:bCs/>
          <w:iCs/>
        </w:rPr>
        <w:t>N</w:t>
      </w:r>
      <w:r w:rsidR="00B71EBB" w:rsidRPr="001D5AE2">
        <w:rPr>
          <w:rFonts w:ascii="Tahoma" w:hAnsi="Tahoma" w:cs="Tahoma"/>
          <w:bCs/>
          <w:iCs/>
        </w:rPr>
        <w:t>36,700.0</w:t>
      </w:r>
      <w:r w:rsidR="00FF023E" w:rsidRPr="001D5AE2">
        <w:rPr>
          <w:rFonts w:ascii="Tahoma" w:hAnsi="Tahoma" w:cs="Tahoma"/>
          <w:bCs/>
          <w:iCs/>
        </w:rPr>
        <w:t xml:space="preserve"> million in 2024, </w:t>
      </w:r>
      <w:r w:rsidR="00BD349A" w:rsidRPr="001D5AE2">
        <w:rPr>
          <w:rFonts w:ascii="Tahoma" w:hAnsi="Tahoma" w:cs="Tahoma"/>
          <w:bCs/>
          <w:iCs/>
        </w:rPr>
        <w:t>N</w:t>
      </w:r>
      <w:r w:rsidR="00B71EBB" w:rsidRPr="001D5AE2">
        <w:rPr>
          <w:rFonts w:ascii="Tahoma" w:hAnsi="Tahoma" w:cs="Tahoma"/>
          <w:bCs/>
          <w:iCs/>
        </w:rPr>
        <w:t>27,160.6</w:t>
      </w:r>
      <w:r w:rsidR="00BD349A" w:rsidRPr="001D5AE2">
        <w:rPr>
          <w:rFonts w:ascii="Tahoma" w:hAnsi="Tahoma" w:cs="Tahoma"/>
          <w:bCs/>
          <w:iCs/>
        </w:rPr>
        <w:t xml:space="preserve"> million in 2025, and N</w:t>
      </w:r>
      <w:r w:rsidR="00B71EBB" w:rsidRPr="001D5AE2">
        <w:rPr>
          <w:rFonts w:ascii="Tahoma" w:hAnsi="Tahoma" w:cs="Tahoma"/>
          <w:bCs/>
          <w:iCs/>
        </w:rPr>
        <w:t>33,364.2</w:t>
      </w:r>
      <w:r w:rsidR="00BD349A" w:rsidRPr="001D5AE2">
        <w:rPr>
          <w:rFonts w:ascii="Tahoma" w:hAnsi="Tahoma" w:cs="Tahoma"/>
          <w:bCs/>
          <w:iCs/>
        </w:rPr>
        <w:t xml:space="preserve"> million in 2026</w:t>
      </w:r>
      <w:r w:rsidR="00EA5253" w:rsidRPr="001D5AE2">
        <w:rPr>
          <w:rFonts w:ascii="Tahoma" w:hAnsi="Tahoma" w:cs="Tahoma"/>
          <w:bCs/>
          <w:iCs/>
        </w:rPr>
        <w:t>, respectively</w:t>
      </w:r>
      <w:r w:rsidR="00856B93" w:rsidRPr="001D5AE2">
        <w:rPr>
          <w:rFonts w:ascii="Tahoma" w:hAnsi="Tahoma" w:cs="Tahoma"/>
          <w:bCs/>
          <w:iCs/>
        </w:rPr>
        <w:t xml:space="preserve">. The </w:t>
      </w:r>
      <w:r w:rsidR="008A27F3" w:rsidRPr="001D5AE2">
        <w:rPr>
          <w:rFonts w:ascii="Tahoma" w:hAnsi="Tahoma" w:cs="Tahoma"/>
          <w:bCs/>
          <w:iCs/>
        </w:rPr>
        <w:t xml:space="preserve">gross financing needs </w:t>
      </w:r>
      <w:r w:rsidR="00856B93" w:rsidRPr="001D5AE2">
        <w:rPr>
          <w:rFonts w:ascii="Tahoma" w:hAnsi="Tahoma" w:cs="Tahoma"/>
          <w:bCs/>
          <w:iCs/>
        </w:rPr>
        <w:t xml:space="preserve">projection </w:t>
      </w:r>
      <w:r w:rsidR="008A27F3" w:rsidRPr="001D5AE2">
        <w:rPr>
          <w:rFonts w:ascii="Tahoma" w:hAnsi="Tahoma" w:cs="Tahoma"/>
          <w:bCs/>
          <w:iCs/>
        </w:rPr>
        <w:t>from 202</w:t>
      </w:r>
      <w:r w:rsidR="00425587" w:rsidRPr="001D5AE2">
        <w:rPr>
          <w:rFonts w:ascii="Tahoma" w:hAnsi="Tahoma" w:cs="Tahoma"/>
          <w:bCs/>
          <w:iCs/>
        </w:rPr>
        <w:t>7</w:t>
      </w:r>
      <w:r w:rsidR="008A27F3" w:rsidRPr="001D5AE2">
        <w:rPr>
          <w:rFonts w:ascii="Tahoma" w:hAnsi="Tahoma" w:cs="Tahoma"/>
          <w:bCs/>
          <w:iCs/>
        </w:rPr>
        <w:t xml:space="preserve"> to 2</w:t>
      </w:r>
      <w:r w:rsidR="00856B93" w:rsidRPr="001D5AE2">
        <w:rPr>
          <w:rFonts w:ascii="Tahoma" w:hAnsi="Tahoma" w:cs="Tahoma"/>
          <w:bCs/>
          <w:iCs/>
        </w:rPr>
        <w:t>0</w:t>
      </w:r>
      <w:r w:rsidR="008A27F3" w:rsidRPr="001D5AE2">
        <w:rPr>
          <w:rFonts w:ascii="Tahoma" w:hAnsi="Tahoma" w:cs="Tahoma"/>
          <w:bCs/>
          <w:iCs/>
        </w:rPr>
        <w:t>3</w:t>
      </w:r>
      <w:r w:rsidR="00425587" w:rsidRPr="001D5AE2">
        <w:rPr>
          <w:rFonts w:ascii="Tahoma" w:hAnsi="Tahoma" w:cs="Tahoma"/>
          <w:bCs/>
          <w:iCs/>
        </w:rPr>
        <w:t>3</w:t>
      </w:r>
      <w:r w:rsidR="00E47D04" w:rsidRPr="001D5AE2">
        <w:rPr>
          <w:rFonts w:ascii="Tahoma" w:hAnsi="Tahoma" w:cs="Tahoma"/>
          <w:bCs/>
          <w:iCs/>
        </w:rPr>
        <w:t xml:space="preserve"> </w:t>
      </w:r>
      <w:r w:rsidR="00856B93" w:rsidRPr="001D5AE2">
        <w:rPr>
          <w:rFonts w:ascii="Tahoma" w:hAnsi="Tahoma" w:cs="Tahoma"/>
          <w:bCs/>
          <w:iCs/>
        </w:rPr>
        <w:t>is estimated to have an average of N</w:t>
      </w:r>
      <w:r w:rsidR="008253BA" w:rsidRPr="001D5AE2">
        <w:rPr>
          <w:rFonts w:ascii="Tahoma" w:hAnsi="Tahoma" w:cs="Tahoma"/>
          <w:bCs/>
          <w:iCs/>
        </w:rPr>
        <w:t xml:space="preserve">30,745.1 </w:t>
      </w:r>
      <w:r w:rsidR="00856B93" w:rsidRPr="001D5AE2">
        <w:rPr>
          <w:rFonts w:ascii="Tahoma" w:hAnsi="Tahoma" w:cs="Tahoma"/>
          <w:bCs/>
          <w:iCs/>
        </w:rPr>
        <w:t>million</w:t>
      </w:r>
      <w:r w:rsidR="008A27F3" w:rsidRPr="001D5AE2">
        <w:rPr>
          <w:rFonts w:ascii="Tahoma" w:hAnsi="Tahoma" w:cs="Tahoma"/>
          <w:bCs/>
          <w:iCs/>
        </w:rPr>
        <w:t xml:space="preserve">, the </w:t>
      </w:r>
      <w:r w:rsidR="00856B93" w:rsidRPr="001D5AE2">
        <w:rPr>
          <w:rFonts w:ascii="Tahoma" w:hAnsi="Tahoma" w:cs="Tahoma"/>
          <w:bCs/>
          <w:iCs/>
        </w:rPr>
        <w:t>period is hinged on the anticipated improvement on the revenue due to the various initiatives and reforms by Government, as well as efficiency and quality of spending.</w:t>
      </w:r>
    </w:p>
    <w:p w14:paraId="10D22068" w14:textId="77777777" w:rsidR="00E931D7" w:rsidRPr="001D5AE2" w:rsidRDefault="00E931D7" w:rsidP="00BD349A">
      <w:pPr>
        <w:spacing w:line="360" w:lineRule="auto"/>
        <w:jc w:val="both"/>
        <w:rPr>
          <w:rFonts w:ascii="Tahoma" w:hAnsi="Tahoma" w:cs="Tahoma"/>
          <w:bCs/>
          <w:iCs/>
        </w:rPr>
      </w:pPr>
    </w:p>
    <w:p w14:paraId="54AD4813" w14:textId="5D5DCA61" w:rsidR="00F717EF" w:rsidRPr="001D5AE2" w:rsidRDefault="00F717EF" w:rsidP="00F717EF">
      <w:pPr>
        <w:spacing w:line="360" w:lineRule="auto"/>
        <w:jc w:val="both"/>
        <w:rPr>
          <w:rFonts w:ascii="Tahoma" w:hAnsi="Tahoma" w:cs="Tahoma"/>
          <w:bCs/>
          <w:iCs/>
        </w:rPr>
      </w:pPr>
      <w:r w:rsidRPr="001D5AE2">
        <w:rPr>
          <w:rFonts w:ascii="Tahoma" w:hAnsi="Tahoma" w:cs="Tahoma"/>
          <w:bCs/>
          <w:iCs/>
        </w:rPr>
        <w:t>Kebbi State should sustain the current Budget reform programme particularly as it relates to the preparation of a realistic budget, ensuring policy-plan-budget linkages using the State MTSSs, and early passage of the budget. Efforts should be made to prepare MTSS for other sectors not yet provided for.</w:t>
      </w:r>
    </w:p>
    <w:p w14:paraId="16B2EF46" w14:textId="39AF316F" w:rsidR="00F717EF" w:rsidRPr="001D5AE2" w:rsidRDefault="00F717EF" w:rsidP="00F717EF">
      <w:pPr>
        <w:spacing w:line="360" w:lineRule="auto"/>
        <w:jc w:val="both"/>
        <w:rPr>
          <w:rFonts w:ascii="Tahoma" w:hAnsi="Tahoma" w:cs="Tahoma"/>
          <w:bCs/>
          <w:iCs/>
        </w:rPr>
      </w:pPr>
      <w:r w:rsidRPr="001D5AE2">
        <w:rPr>
          <w:rFonts w:ascii="Tahoma" w:hAnsi="Tahoma" w:cs="Tahoma"/>
          <w:bCs/>
          <w:iCs/>
        </w:rPr>
        <w:t>Kebbi State must continue to monitor the performance of mineral-based revenues to ensure estimates are consistent with the latest development globally and within the Federal Government’s budget process. If the benchmark price of crude in the Federal FSP is lower or higher than $</w:t>
      </w:r>
      <w:r w:rsidR="008253BA" w:rsidRPr="001D5AE2">
        <w:rPr>
          <w:rFonts w:ascii="Tahoma" w:hAnsi="Tahoma" w:cs="Tahoma"/>
          <w:bCs/>
          <w:iCs/>
        </w:rPr>
        <w:t>65</w:t>
      </w:r>
      <w:r w:rsidRPr="001D5AE2">
        <w:rPr>
          <w:rFonts w:ascii="Tahoma" w:hAnsi="Tahoma" w:cs="Tahoma"/>
          <w:bCs/>
          <w:iCs/>
        </w:rPr>
        <w:t xml:space="preserve"> per barrel used herein and IMF, World Bank, OPEC and </w:t>
      </w:r>
      <w:r w:rsidRPr="001D5AE2">
        <w:rPr>
          <w:rFonts w:ascii="Tahoma" w:hAnsi="Tahoma" w:cs="Tahoma"/>
          <w:bCs/>
          <w:iCs/>
        </w:rPr>
        <w:lastRenderedPageBreak/>
        <w:t xml:space="preserve">US Energy Information Administration Reports </w:t>
      </w:r>
      <w:r w:rsidR="00690FDD" w:rsidRPr="001D5AE2">
        <w:rPr>
          <w:rFonts w:ascii="Tahoma" w:hAnsi="Tahoma" w:cs="Tahoma"/>
          <w:bCs/>
          <w:iCs/>
        </w:rPr>
        <w:t>validate</w:t>
      </w:r>
      <w:r w:rsidRPr="001D5AE2">
        <w:rPr>
          <w:rFonts w:ascii="Tahoma" w:hAnsi="Tahoma" w:cs="Tahoma"/>
          <w:bCs/>
          <w:iCs/>
        </w:rPr>
        <w:t xml:space="preserve"> the oil price benchmark provided in Federal FSP, the State should revisit the assumptions and recalculate statutory allocation.</w:t>
      </w:r>
    </w:p>
    <w:p w14:paraId="579816C0" w14:textId="6D784BE1" w:rsidR="00856B93" w:rsidRPr="001D5AE2" w:rsidRDefault="00F717EF" w:rsidP="00856B93">
      <w:pPr>
        <w:spacing w:line="360" w:lineRule="auto"/>
        <w:jc w:val="both"/>
        <w:rPr>
          <w:rFonts w:ascii="Tahoma" w:hAnsi="Tahoma" w:cs="Tahoma"/>
          <w:bCs/>
          <w:iCs/>
        </w:rPr>
      </w:pPr>
      <w:r w:rsidRPr="001D5AE2">
        <w:rPr>
          <w:rFonts w:ascii="Tahoma" w:hAnsi="Tahoma" w:cs="Tahoma"/>
          <w:bCs/>
          <w:iCs/>
        </w:rPr>
        <w:t xml:space="preserve">Kebbi State’s Debt Stock </w:t>
      </w:r>
      <w:r w:rsidR="00D906CD" w:rsidRPr="001D5AE2">
        <w:rPr>
          <w:rFonts w:ascii="Tahoma" w:hAnsi="Tahoma" w:cs="Tahoma"/>
          <w:bCs/>
          <w:iCs/>
        </w:rPr>
        <w:t xml:space="preserve">stood </w:t>
      </w:r>
      <w:r w:rsidRPr="001D5AE2">
        <w:rPr>
          <w:rFonts w:ascii="Tahoma" w:hAnsi="Tahoma" w:cs="Tahoma"/>
          <w:bCs/>
          <w:iCs/>
        </w:rPr>
        <w:t>N</w:t>
      </w:r>
      <w:r w:rsidR="000D098E" w:rsidRPr="001D5AE2">
        <w:rPr>
          <w:rFonts w:ascii="Tahoma" w:hAnsi="Tahoma" w:cs="Tahoma"/>
          <w:bCs/>
          <w:iCs/>
        </w:rPr>
        <w:t>75,</w:t>
      </w:r>
      <w:r w:rsidR="00BE7379" w:rsidRPr="001D5AE2">
        <w:rPr>
          <w:rFonts w:ascii="Tahoma" w:hAnsi="Tahoma" w:cs="Tahoma"/>
          <w:bCs/>
          <w:iCs/>
        </w:rPr>
        <w:t xml:space="preserve">963 </w:t>
      </w:r>
      <w:r w:rsidR="00485430" w:rsidRPr="001D5AE2">
        <w:rPr>
          <w:rFonts w:ascii="Tahoma" w:hAnsi="Tahoma" w:cs="Tahoma"/>
          <w:bCs/>
          <w:iCs/>
        </w:rPr>
        <w:t>million in 202</w:t>
      </w:r>
      <w:r w:rsidR="00BE7379" w:rsidRPr="001D5AE2">
        <w:rPr>
          <w:rFonts w:ascii="Tahoma" w:hAnsi="Tahoma" w:cs="Tahoma"/>
          <w:bCs/>
          <w:iCs/>
        </w:rPr>
        <w:t>3</w:t>
      </w:r>
      <w:r w:rsidR="00D906CD" w:rsidRPr="001D5AE2">
        <w:rPr>
          <w:rFonts w:ascii="Tahoma" w:hAnsi="Tahoma" w:cs="Tahoma"/>
          <w:bCs/>
          <w:iCs/>
        </w:rPr>
        <w:t xml:space="preserve"> which was estimated to increase </w:t>
      </w:r>
      <w:r w:rsidR="00332B0F" w:rsidRPr="001D5AE2">
        <w:rPr>
          <w:rFonts w:ascii="Tahoma" w:hAnsi="Tahoma" w:cs="Tahoma"/>
          <w:bCs/>
          <w:iCs/>
        </w:rPr>
        <w:t>in 2024 (N</w:t>
      </w:r>
      <w:r w:rsidR="00533E8D" w:rsidRPr="001D5AE2">
        <w:rPr>
          <w:rFonts w:ascii="Tahoma" w:hAnsi="Tahoma" w:cs="Tahoma"/>
          <w:bCs/>
          <w:iCs/>
        </w:rPr>
        <w:t>142,735 million)</w:t>
      </w:r>
      <w:r w:rsidR="00A3781C" w:rsidRPr="001D5AE2">
        <w:rPr>
          <w:rFonts w:ascii="Tahoma" w:hAnsi="Tahoma" w:cs="Tahoma"/>
          <w:bCs/>
          <w:iCs/>
        </w:rPr>
        <w:t>,</w:t>
      </w:r>
      <w:r w:rsidR="00533E8D" w:rsidRPr="001D5AE2">
        <w:rPr>
          <w:rFonts w:ascii="Tahoma" w:hAnsi="Tahoma" w:cs="Tahoma"/>
          <w:bCs/>
          <w:iCs/>
        </w:rPr>
        <w:t xml:space="preserve"> </w:t>
      </w:r>
      <w:r w:rsidR="00D83570" w:rsidRPr="001D5AE2">
        <w:rPr>
          <w:rFonts w:ascii="Tahoma" w:hAnsi="Tahoma" w:cs="Tahoma"/>
          <w:bCs/>
          <w:iCs/>
        </w:rPr>
        <w:t>202</w:t>
      </w:r>
      <w:r w:rsidR="00990B16" w:rsidRPr="001D5AE2">
        <w:rPr>
          <w:rFonts w:ascii="Tahoma" w:hAnsi="Tahoma" w:cs="Tahoma"/>
          <w:bCs/>
          <w:iCs/>
        </w:rPr>
        <w:t>6 (</w:t>
      </w:r>
      <w:r w:rsidR="00533E8D" w:rsidRPr="001D5AE2">
        <w:rPr>
          <w:rFonts w:ascii="Tahoma" w:hAnsi="Tahoma" w:cs="Tahoma"/>
          <w:bCs/>
          <w:iCs/>
        </w:rPr>
        <w:t>N178</w:t>
      </w:r>
      <w:r w:rsidR="00D83570" w:rsidRPr="001D5AE2">
        <w:rPr>
          <w:rFonts w:ascii="Tahoma" w:hAnsi="Tahoma" w:cs="Tahoma"/>
          <w:bCs/>
          <w:iCs/>
        </w:rPr>
        <w:t>,099 million)</w:t>
      </w:r>
      <w:r w:rsidR="00990B16" w:rsidRPr="001D5AE2">
        <w:rPr>
          <w:rFonts w:ascii="Tahoma" w:hAnsi="Tahoma" w:cs="Tahoma"/>
          <w:bCs/>
          <w:iCs/>
        </w:rPr>
        <w:t>, 2028 (N</w:t>
      </w:r>
      <w:r w:rsidR="008E209B" w:rsidRPr="001D5AE2">
        <w:rPr>
          <w:rFonts w:ascii="Tahoma" w:hAnsi="Tahoma" w:cs="Tahoma"/>
          <w:bCs/>
          <w:iCs/>
        </w:rPr>
        <w:t>189,488 million), 2030 (</w:t>
      </w:r>
      <w:r w:rsidR="00996CCE" w:rsidRPr="001D5AE2">
        <w:rPr>
          <w:rFonts w:ascii="Tahoma" w:hAnsi="Tahoma" w:cs="Tahoma"/>
          <w:bCs/>
          <w:iCs/>
        </w:rPr>
        <w:t>N201,762 million) and 203</w:t>
      </w:r>
      <w:r w:rsidR="00440B35" w:rsidRPr="001D5AE2">
        <w:rPr>
          <w:rFonts w:ascii="Tahoma" w:hAnsi="Tahoma" w:cs="Tahoma"/>
          <w:bCs/>
          <w:iCs/>
        </w:rPr>
        <w:t>2</w:t>
      </w:r>
      <w:r w:rsidR="00996CCE" w:rsidRPr="001D5AE2">
        <w:rPr>
          <w:rFonts w:ascii="Tahoma" w:hAnsi="Tahoma" w:cs="Tahoma"/>
          <w:bCs/>
          <w:iCs/>
        </w:rPr>
        <w:t xml:space="preserve"> (</w:t>
      </w:r>
      <w:r w:rsidR="002B46CD" w:rsidRPr="001D5AE2">
        <w:rPr>
          <w:rFonts w:ascii="Tahoma" w:hAnsi="Tahoma" w:cs="Tahoma"/>
          <w:bCs/>
          <w:iCs/>
        </w:rPr>
        <w:t>N231,237 million)</w:t>
      </w:r>
      <w:r w:rsidRPr="001D5AE2">
        <w:rPr>
          <w:rFonts w:ascii="Tahoma" w:hAnsi="Tahoma" w:cs="Tahoma"/>
          <w:bCs/>
          <w:iCs/>
        </w:rPr>
        <w:t>, respectively.</w:t>
      </w:r>
      <w:r w:rsidR="000534E9" w:rsidRPr="001D5AE2">
        <w:rPr>
          <w:rFonts w:ascii="Tahoma" w:hAnsi="Tahoma" w:cs="Tahoma"/>
          <w:bCs/>
          <w:iCs/>
        </w:rPr>
        <w:t xml:space="preserve"> </w:t>
      </w:r>
      <w:r w:rsidR="00DB621C" w:rsidRPr="001D5AE2">
        <w:rPr>
          <w:rFonts w:ascii="Tahoma" w:hAnsi="Tahoma" w:cs="Tahoma"/>
          <w:bCs/>
          <w:iCs/>
        </w:rPr>
        <w:t>The domestic debt stock estimated to contribute 59.90 percent in 2024,</w:t>
      </w:r>
      <w:r w:rsidR="005C15E8" w:rsidRPr="001D5AE2">
        <w:rPr>
          <w:rFonts w:ascii="Tahoma" w:hAnsi="Tahoma" w:cs="Tahoma"/>
          <w:bCs/>
          <w:iCs/>
        </w:rPr>
        <w:t xml:space="preserve"> </w:t>
      </w:r>
      <w:r w:rsidR="00A852D9" w:rsidRPr="001D5AE2">
        <w:rPr>
          <w:rFonts w:ascii="Tahoma" w:hAnsi="Tahoma" w:cs="Tahoma"/>
          <w:bCs/>
          <w:iCs/>
        </w:rPr>
        <w:t xml:space="preserve">68.74 percent in 2026, 66.63 percent in 2028, </w:t>
      </w:r>
      <w:r w:rsidR="0009541B" w:rsidRPr="001D5AE2">
        <w:rPr>
          <w:rFonts w:ascii="Tahoma" w:hAnsi="Tahoma" w:cs="Tahoma"/>
          <w:bCs/>
          <w:iCs/>
        </w:rPr>
        <w:t xml:space="preserve">64.92 percent in 2030, </w:t>
      </w:r>
      <w:r w:rsidR="00F45AAE" w:rsidRPr="001D5AE2">
        <w:rPr>
          <w:rFonts w:ascii="Tahoma" w:hAnsi="Tahoma" w:cs="Tahoma"/>
          <w:bCs/>
          <w:iCs/>
        </w:rPr>
        <w:t>66.94 percent in 2033</w:t>
      </w:r>
      <w:r w:rsidR="004E0A88" w:rsidRPr="001D5AE2">
        <w:rPr>
          <w:rFonts w:ascii="Tahoma" w:hAnsi="Tahoma" w:cs="Tahoma"/>
          <w:bCs/>
          <w:iCs/>
        </w:rPr>
        <w:t xml:space="preserve">, compared with the external debt stock that projected to contribute </w:t>
      </w:r>
      <w:r w:rsidR="005828C5" w:rsidRPr="001D5AE2">
        <w:rPr>
          <w:rFonts w:ascii="Tahoma" w:hAnsi="Tahoma" w:cs="Tahoma"/>
          <w:bCs/>
          <w:iCs/>
        </w:rPr>
        <w:t xml:space="preserve">40.10 percent in 2024, 31.26 percent in 2026, 33.37 percent in </w:t>
      </w:r>
      <w:r w:rsidR="00C60500" w:rsidRPr="001D5AE2">
        <w:rPr>
          <w:rFonts w:ascii="Tahoma" w:hAnsi="Tahoma" w:cs="Tahoma"/>
          <w:bCs/>
          <w:iCs/>
        </w:rPr>
        <w:t>2028, 35.08 percent in 2030, and 33</w:t>
      </w:r>
      <w:r w:rsidR="00A7271A" w:rsidRPr="001D5AE2">
        <w:rPr>
          <w:rFonts w:ascii="Tahoma" w:hAnsi="Tahoma" w:cs="Tahoma"/>
          <w:bCs/>
          <w:iCs/>
        </w:rPr>
        <w:t>.06 percent respectively.</w:t>
      </w:r>
    </w:p>
    <w:p w14:paraId="6F2D279D" w14:textId="58FA46EE" w:rsidR="00B664DB" w:rsidRPr="001D5AE2" w:rsidRDefault="00F96703" w:rsidP="00856B93">
      <w:pPr>
        <w:spacing w:line="360" w:lineRule="auto"/>
        <w:jc w:val="both"/>
        <w:rPr>
          <w:rFonts w:ascii="Tahoma" w:hAnsi="Tahoma" w:cs="Tahoma"/>
          <w:bCs/>
          <w:iCs/>
        </w:rPr>
      </w:pPr>
      <w:r w:rsidRPr="001D5AE2">
        <w:rPr>
          <w:noProof/>
        </w:rPr>
        <w:drawing>
          <wp:inline distT="0" distB="0" distL="0" distR="0" wp14:anchorId="405AAC73" wp14:editId="428F1234">
            <wp:extent cx="5486400" cy="3018155"/>
            <wp:effectExtent l="0" t="0" r="0" b="0"/>
            <wp:docPr id="182601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5F4A3A63" w14:textId="073EE728" w:rsidR="006E1D57" w:rsidRPr="001D5AE2" w:rsidRDefault="006E1D57" w:rsidP="006E1D57">
      <w:pPr>
        <w:spacing w:line="360" w:lineRule="auto"/>
        <w:jc w:val="both"/>
        <w:rPr>
          <w:rFonts w:ascii="Tahoma" w:hAnsi="Tahoma" w:cs="Tahoma"/>
          <w:bCs/>
          <w:iCs/>
        </w:rPr>
      </w:pPr>
      <w:r w:rsidRPr="001D5AE2">
        <w:rPr>
          <w:rFonts w:ascii="Tahoma" w:hAnsi="Tahoma" w:cs="Tahoma"/>
          <w:bCs/>
          <w:iCs/>
        </w:rPr>
        <w:t xml:space="preserve">Principal Repayment </w:t>
      </w:r>
      <w:r w:rsidR="0082765E" w:rsidRPr="001D5AE2">
        <w:rPr>
          <w:rFonts w:ascii="Tahoma" w:hAnsi="Tahoma" w:cs="Tahoma"/>
          <w:bCs/>
          <w:iCs/>
        </w:rPr>
        <w:t>is estimated</w:t>
      </w:r>
      <w:r w:rsidRPr="001D5AE2">
        <w:rPr>
          <w:rFonts w:ascii="Tahoma" w:hAnsi="Tahoma" w:cs="Tahoma"/>
          <w:bCs/>
          <w:iCs/>
        </w:rPr>
        <w:t xml:space="preserve"> </w:t>
      </w:r>
      <w:r w:rsidR="009932BC" w:rsidRPr="001D5AE2">
        <w:rPr>
          <w:rFonts w:ascii="Tahoma" w:hAnsi="Tahoma" w:cs="Tahoma"/>
          <w:bCs/>
          <w:iCs/>
        </w:rPr>
        <w:t xml:space="preserve">at </w:t>
      </w:r>
      <w:r w:rsidRPr="001D5AE2">
        <w:rPr>
          <w:rFonts w:ascii="Tahoma" w:hAnsi="Tahoma" w:cs="Tahoma"/>
          <w:bCs/>
          <w:iCs/>
        </w:rPr>
        <w:t>N</w:t>
      </w:r>
      <w:r w:rsidR="00785CE3" w:rsidRPr="001D5AE2">
        <w:rPr>
          <w:rFonts w:ascii="Tahoma" w:hAnsi="Tahoma" w:cs="Tahoma"/>
          <w:bCs/>
          <w:iCs/>
        </w:rPr>
        <w:t xml:space="preserve">7,040 </w:t>
      </w:r>
      <w:r w:rsidR="00A92103" w:rsidRPr="001D5AE2">
        <w:rPr>
          <w:rFonts w:ascii="Tahoma" w:hAnsi="Tahoma" w:cs="Tahoma"/>
          <w:bCs/>
          <w:iCs/>
        </w:rPr>
        <w:t>m</w:t>
      </w:r>
      <w:r w:rsidRPr="001D5AE2">
        <w:rPr>
          <w:rFonts w:ascii="Tahoma" w:hAnsi="Tahoma" w:cs="Tahoma"/>
          <w:bCs/>
          <w:iCs/>
        </w:rPr>
        <w:t>illion in 202</w:t>
      </w:r>
      <w:r w:rsidR="00785CE3" w:rsidRPr="001D5AE2">
        <w:rPr>
          <w:rFonts w:ascii="Tahoma" w:hAnsi="Tahoma" w:cs="Tahoma"/>
          <w:bCs/>
          <w:iCs/>
        </w:rPr>
        <w:t>4</w:t>
      </w:r>
      <w:r w:rsidR="009932BC" w:rsidRPr="001D5AE2">
        <w:rPr>
          <w:rFonts w:ascii="Tahoma" w:hAnsi="Tahoma" w:cs="Tahoma"/>
          <w:bCs/>
          <w:iCs/>
        </w:rPr>
        <w:t xml:space="preserve">, </w:t>
      </w:r>
      <w:r w:rsidR="003217F6" w:rsidRPr="001D5AE2">
        <w:rPr>
          <w:rFonts w:ascii="Tahoma" w:hAnsi="Tahoma" w:cs="Tahoma"/>
          <w:bCs/>
          <w:iCs/>
        </w:rPr>
        <w:t>N</w:t>
      </w:r>
      <w:r w:rsidR="002B29F6" w:rsidRPr="001D5AE2">
        <w:rPr>
          <w:rFonts w:ascii="Tahoma" w:hAnsi="Tahoma" w:cs="Tahoma"/>
          <w:bCs/>
          <w:iCs/>
        </w:rPr>
        <w:t xml:space="preserve">20,839 million in 2029 and </w:t>
      </w:r>
      <w:r w:rsidR="009707C1" w:rsidRPr="001D5AE2">
        <w:rPr>
          <w:rFonts w:ascii="Tahoma" w:hAnsi="Tahoma" w:cs="Tahoma"/>
          <w:bCs/>
          <w:iCs/>
        </w:rPr>
        <w:t>N22,649 million in 2033,</w:t>
      </w:r>
      <w:r w:rsidRPr="001D5AE2">
        <w:rPr>
          <w:rFonts w:ascii="Tahoma" w:hAnsi="Tahoma" w:cs="Tahoma"/>
          <w:bCs/>
          <w:iCs/>
        </w:rPr>
        <w:t xml:space="preserve"> compared with the Interest Payment N2,</w:t>
      </w:r>
      <w:r w:rsidR="003217F6" w:rsidRPr="001D5AE2">
        <w:rPr>
          <w:rFonts w:ascii="Tahoma" w:hAnsi="Tahoma" w:cs="Tahoma"/>
          <w:bCs/>
          <w:iCs/>
        </w:rPr>
        <w:t xml:space="preserve">324 </w:t>
      </w:r>
      <w:r w:rsidR="00A92103" w:rsidRPr="001D5AE2">
        <w:rPr>
          <w:rFonts w:ascii="Tahoma" w:hAnsi="Tahoma" w:cs="Tahoma"/>
          <w:bCs/>
          <w:iCs/>
        </w:rPr>
        <w:t>m</w:t>
      </w:r>
      <w:r w:rsidRPr="001D5AE2">
        <w:rPr>
          <w:rFonts w:ascii="Tahoma" w:hAnsi="Tahoma" w:cs="Tahoma"/>
          <w:bCs/>
          <w:iCs/>
        </w:rPr>
        <w:t>illion in 202</w:t>
      </w:r>
      <w:r w:rsidR="003217F6" w:rsidRPr="001D5AE2">
        <w:rPr>
          <w:rFonts w:ascii="Tahoma" w:hAnsi="Tahoma" w:cs="Tahoma"/>
          <w:bCs/>
          <w:iCs/>
        </w:rPr>
        <w:t>4</w:t>
      </w:r>
      <w:r w:rsidR="00500CD5" w:rsidRPr="001D5AE2">
        <w:rPr>
          <w:rFonts w:ascii="Tahoma" w:hAnsi="Tahoma" w:cs="Tahoma"/>
          <w:bCs/>
          <w:iCs/>
        </w:rPr>
        <w:t xml:space="preserve">, </w:t>
      </w:r>
      <w:r w:rsidR="003C5D72" w:rsidRPr="001D5AE2">
        <w:rPr>
          <w:rFonts w:ascii="Tahoma" w:hAnsi="Tahoma" w:cs="Tahoma"/>
          <w:bCs/>
          <w:iCs/>
        </w:rPr>
        <w:t xml:space="preserve">N16,698 </w:t>
      </w:r>
      <w:r w:rsidR="00412D1C" w:rsidRPr="001D5AE2">
        <w:rPr>
          <w:rFonts w:ascii="Tahoma" w:hAnsi="Tahoma" w:cs="Tahoma"/>
          <w:bCs/>
          <w:iCs/>
        </w:rPr>
        <w:t>million in 202</w:t>
      </w:r>
      <w:r w:rsidR="003C5D72" w:rsidRPr="001D5AE2">
        <w:rPr>
          <w:rFonts w:ascii="Tahoma" w:hAnsi="Tahoma" w:cs="Tahoma"/>
          <w:bCs/>
          <w:iCs/>
        </w:rPr>
        <w:t>9</w:t>
      </w:r>
      <w:r w:rsidR="00412D1C" w:rsidRPr="001D5AE2">
        <w:rPr>
          <w:rFonts w:ascii="Tahoma" w:hAnsi="Tahoma" w:cs="Tahoma"/>
          <w:bCs/>
          <w:iCs/>
        </w:rPr>
        <w:t xml:space="preserve">, </w:t>
      </w:r>
      <w:r w:rsidR="003C5D72" w:rsidRPr="001D5AE2">
        <w:rPr>
          <w:rFonts w:ascii="Tahoma" w:hAnsi="Tahoma" w:cs="Tahoma"/>
          <w:bCs/>
          <w:iCs/>
        </w:rPr>
        <w:t xml:space="preserve">and </w:t>
      </w:r>
      <w:r w:rsidR="00412D1C" w:rsidRPr="001D5AE2">
        <w:rPr>
          <w:rFonts w:ascii="Tahoma" w:hAnsi="Tahoma" w:cs="Tahoma"/>
          <w:bCs/>
          <w:iCs/>
        </w:rPr>
        <w:t>N</w:t>
      </w:r>
      <w:r w:rsidR="003C5D72" w:rsidRPr="001D5AE2">
        <w:rPr>
          <w:rFonts w:ascii="Tahoma" w:hAnsi="Tahoma" w:cs="Tahoma"/>
          <w:bCs/>
          <w:iCs/>
        </w:rPr>
        <w:t xml:space="preserve">20,003 million in </w:t>
      </w:r>
      <w:r w:rsidR="000D3567" w:rsidRPr="001D5AE2">
        <w:rPr>
          <w:rFonts w:ascii="Tahoma" w:hAnsi="Tahoma" w:cs="Tahoma"/>
          <w:bCs/>
          <w:iCs/>
        </w:rPr>
        <w:t>2033</w:t>
      </w:r>
      <w:r w:rsidRPr="001D5AE2">
        <w:rPr>
          <w:rFonts w:ascii="Tahoma" w:hAnsi="Tahoma" w:cs="Tahoma"/>
          <w:bCs/>
          <w:iCs/>
        </w:rPr>
        <w:t>. (see Charts 18 to 20, below).</w:t>
      </w:r>
    </w:p>
    <w:p w14:paraId="14BC3DC4" w14:textId="614A58EA" w:rsidR="006E1D57" w:rsidRPr="001D5AE2" w:rsidRDefault="00F96703" w:rsidP="00856B93">
      <w:pPr>
        <w:spacing w:after="0" w:line="360" w:lineRule="auto"/>
        <w:jc w:val="both"/>
        <w:rPr>
          <w:rFonts w:ascii="Tahoma" w:hAnsi="Tahoma" w:cs="Tahoma"/>
          <w:b/>
          <w:iCs/>
        </w:rPr>
      </w:pPr>
      <w:r w:rsidRPr="001D5AE2">
        <w:rPr>
          <w:noProof/>
        </w:rPr>
        <w:lastRenderedPageBreak/>
        <w:drawing>
          <wp:inline distT="0" distB="0" distL="0" distR="0" wp14:anchorId="290AF4F7" wp14:editId="4E392FBD">
            <wp:extent cx="5486400" cy="3018155"/>
            <wp:effectExtent l="0" t="0" r="0" b="0"/>
            <wp:docPr id="6558410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7D632332" w14:textId="1B7E4E0A" w:rsidR="006E1D57" w:rsidRPr="001D5AE2" w:rsidRDefault="006E1D57" w:rsidP="00856B93">
      <w:pPr>
        <w:spacing w:after="0" w:line="360" w:lineRule="auto"/>
        <w:jc w:val="both"/>
        <w:rPr>
          <w:rFonts w:ascii="Tahoma" w:hAnsi="Tahoma" w:cs="Tahoma"/>
          <w:b/>
          <w:iCs/>
        </w:rPr>
      </w:pPr>
    </w:p>
    <w:p w14:paraId="5784897B" w14:textId="12C5A70B" w:rsidR="006E1D57" w:rsidRPr="001D5AE2" w:rsidRDefault="008B6F41" w:rsidP="00856B93">
      <w:pPr>
        <w:spacing w:after="0" w:line="360" w:lineRule="auto"/>
        <w:jc w:val="both"/>
        <w:rPr>
          <w:rFonts w:ascii="Tahoma" w:hAnsi="Tahoma" w:cs="Tahoma"/>
          <w:b/>
          <w:iCs/>
        </w:rPr>
      </w:pPr>
      <w:r w:rsidRPr="001D5AE2">
        <w:rPr>
          <w:noProof/>
        </w:rPr>
        <w:drawing>
          <wp:inline distT="0" distB="0" distL="0" distR="0" wp14:anchorId="6C21E116" wp14:editId="0EA56F0E">
            <wp:extent cx="5486400" cy="3018155"/>
            <wp:effectExtent l="0" t="0" r="0" b="0"/>
            <wp:docPr id="16434754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018155"/>
                    </a:xfrm>
                    <a:prstGeom prst="rect">
                      <a:avLst/>
                    </a:prstGeom>
                    <a:noFill/>
                    <a:ln>
                      <a:noFill/>
                    </a:ln>
                  </pic:spPr>
                </pic:pic>
              </a:graphicData>
            </a:graphic>
          </wp:inline>
        </w:drawing>
      </w:r>
    </w:p>
    <w:p w14:paraId="6561F14F" w14:textId="6FCB2EC4" w:rsidR="006E1D57" w:rsidRPr="001D5AE2" w:rsidRDefault="006E1D57" w:rsidP="00856B93">
      <w:pPr>
        <w:spacing w:after="0" w:line="360" w:lineRule="auto"/>
        <w:jc w:val="both"/>
        <w:rPr>
          <w:rFonts w:ascii="Tahoma" w:hAnsi="Tahoma" w:cs="Tahoma"/>
          <w:b/>
          <w:iCs/>
        </w:rPr>
      </w:pPr>
    </w:p>
    <w:p w14:paraId="54C2DF51" w14:textId="65875B08" w:rsidR="00856B93" w:rsidRPr="001D5AE2" w:rsidRDefault="00856B93" w:rsidP="00856B93">
      <w:pPr>
        <w:spacing w:after="0" w:line="360" w:lineRule="auto"/>
        <w:jc w:val="both"/>
        <w:rPr>
          <w:rFonts w:ascii="Tahoma" w:hAnsi="Tahoma" w:cs="Tahoma"/>
          <w:bCs/>
          <w:iCs/>
        </w:rPr>
      </w:pPr>
      <w:r w:rsidRPr="001D5AE2">
        <w:rPr>
          <w:rFonts w:ascii="Tahoma" w:hAnsi="Tahoma" w:cs="Tahoma"/>
          <w:b/>
          <w:iCs/>
        </w:rPr>
        <w:t>Main Key Findings</w:t>
      </w:r>
    </w:p>
    <w:p w14:paraId="08DFD6A0" w14:textId="2157C244" w:rsidR="004836B7" w:rsidRPr="001D5AE2" w:rsidRDefault="00856B93" w:rsidP="004836B7">
      <w:pPr>
        <w:spacing w:line="360" w:lineRule="auto"/>
        <w:jc w:val="both"/>
        <w:rPr>
          <w:rFonts w:ascii="Tahoma" w:hAnsi="Tahoma" w:cs="Tahoma"/>
          <w:bCs/>
          <w:iCs/>
        </w:rPr>
      </w:pPr>
      <w:r w:rsidRPr="001D5AE2">
        <w:rPr>
          <w:rFonts w:ascii="Tahoma" w:hAnsi="Tahoma" w:cs="Tahoma"/>
          <w:bCs/>
          <w:iCs/>
        </w:rPr>
        <w:t>On the Tota</w:t>
      </w:r>
      <w:r w:rsidR="004836B7" w:rsidRPr="001D5AE2">
        <w:rPr>
          <w:rFonts w:ascii="Tahoma" w:hAnsi="Tahoma" w:cs="Tahoma"/>
          <w:bCs/>
          <w:iCs/>
        </w:rPr>
        <w:t xml:space="preserve">l Debt Sustainability Analysis under Baseline Scenario, the Debt Sustainability Analysis results shows that the ratio of Debt as % of GDP is projected at </w:t>
      </w:r>
      <w:r w:rsidR="00CB6357" w:rsidRPr="001D5AE2">
        <w:rPr>
          <w:rFonts w:ascii="Tahoma" w:hAnsi="Tahoma" w:cs="Tahoma"/>
          <w:bCs/>
          <w:iCs/>
        </w:rPr>
        <w:t xml:space="preserve">5.54 </w:t>
      </w:r>
      <w:r w:rsidR="004836B7" w:rsidRPr="001D5AE2">
        <w:rPr>
          <w:rFonts w:ascii="Tahoma" w:hAnsi="Tahoma" w:cs="Tahoma"/>
          <w:bCs/>
          <w:iCs/>
        </w:rPr>
        <w:t>percent in 202</w:t>
      </w:r>
      <w:r w:rsidR="00DE6B39" w:rsidRPr="001D5AE2">
        <w:rPr>
          <w:rFonts w:ascii="Tahoma" w:hAnsi="Tahoma" w:cs="Tahoma"/>
          <w:bCs/>
          <w:iCs/>
        </w:rPr>
        <w:t>4</w:t>
      </w:r>
      <w:r w:rsidR="004836B7" w:rsidRPr="001D5AE2">
        <w:rPr>
          <w:rFonts w:ascii="Tahoma" w:hAnsi="Tahoma" w:cs="Tahoma"/>
          <w:bCs/>
          <w:iCs/>
        </w:rPr>
        <w:t xml:space="preserve">, </w:t>
      </w:r>
      <w:r w:rsidR="00132CE3" w:rsidRPr="001D5AE2">
        <w:rPr>
          <w:rFonts w:ascii="Tahoma" w:hAnsi="Tahoma" w:cs="Tahoma"/>
          <w:bCs/>
          <w:iCs/>
        </w:rPr>
        <w:t>5.5</w:t>
      </w:r>
      <w:r w:rsidR="008919DF" w:rsidRPr="001D5AE2">
        <w:rPr>
          <w:rFonts w:ascii="Tahoma" w:hAnsi="Tahoma" w:cs="Tahoma"/>
          <w:bCs/>
          <w:iCs/>
        </w:rPr>
        <w:t>9</w:t>
      </w:r>
      <w:r w:rsidR="00132CE3" w:rsidRPr="001D5AE2">
        <w:rPr>
          <w:rFonts w:ascii="Tahoma" w:hAnsi="Tahoma" w:cs="Tahoma"/>
          <w:bCs/>
          <w:iCs/>
        </w:rPr>
        <w:t xml:space="preserve"> </w:t>
      </w:r>
      <w:r w:rsidR="004836B7" w:rsidRPr="001D5AE2">
        <w:rPr>
          <w:rFonts w:ascii="Tahoma" w:hAnsi="Tahoma" w:cs="Tahoma"/>
          <w:bCs/>
          <w:iCs/>
        </w:rPr>
        <w:t>percent in 202</w:t>
      </w:r>
      <w:r w:rsidR="005E4667" w:rsidRPr="001D5AE2">
        <w:rPr>
          <w:rFonts w:ascii="Tahoma" w:hAnsi="Tahoma" w:cs="Tahoma"/>
          <w:bCs/>
          <w:iCs/>
        </w:rPr>
        <w:t>5</w:t>
      </w:r>
      <w:r w:rsidR="004836B7" w:rsidRPr="001D5AE2">
        <w:rPr>
          <w:rFonts w:ascii="Tahoma" w:hAnsi="Tahoma" w:cs="Tahoma"/>
          <w:bCs/>
          <w:iCs/>
        </w:rPr>
        <w:t xml:space="preserve">, </w:t>
      </w:r>
      <w:r w:rsidR="00934A13" w:rsidRPr="001D5AE2">
        <w:rPr>
          <w:rFonts w:ascii="Tahoma" w:hAnsi="Tahoma" w:cs="Tahoma"/>
          <w:bCs/>
          <w:iCs/>
        </w:rPr>
        <w:t xml:space="preserve">5.58 </w:t>
      </w:r>
      <w:r w:rsidR="004836B7" w:rsidRPr="001D5AE2">
        <w:rPr>
          <w:rFonts w:ascii="Tahoma" w:hAnsi="Tahoma" w:cs="Tahoma"/>
          <w:bCs/>
          <w:iCs/>
        </w:rPr>
        <w:t>percent in 202</w:t>
      </w:r>
      <w:r w:rsidR="005E4667" w:rsidRPr="001D5AE2">
        <w:rPr>
          <w:rFonts w:ascii="Tahoma" w:hAnsi="Tahoma" w:cs="Tahoma"/>
          <w:bCs/>
          <w:iCs/>
        </w:rPr>
        <w:t>6</w:t>
      </w:r>
      <w:r w:rsidR="004836B7" w:rsidRPr="001D5AE2">
        <w:rPr>
          <w:rFonts w:ascii="Tahoma" w:hAnsi="Tahoma" w:cs="Tahoma"/>
          <w:bCs/>
          <w:iCs/>
        </w:rPr>
        <w:t xml:space="preserve">, </w:t>
      </w:r>
      <w:r w:rsidR="00934A13" w:rsidRPr="001D5AE2">
        <w:rPr>
          <w:rFonts w:ascii="Tahoma" w:hAnsi="Tahoma" w:cs="Tahoma"/>
          <w:bCs/>
          <w:iCs/>
        </w:rPr>
        <w:t xml:space="preserve">5.33 </w:t>
      </w:r>
      <w:r w:rsidR="004836B7" w:rsidRPr="001D5AE2">
        <w:rPr>
          <w:rFonts w:ascii="Tahoma" w:hAnsi="Tahoma" w:cs="Tahoma"/>
          <w:bCs/>
          <w:iCs/>
        </w:rPr>
        <w:t>percent in 202</w:t>
      </w:r>
      <w:r w:rsidR="005E4667" w:rsidRPr="001D5AE2">
        <w:rPr>
          <w:rFonts w:ascii="Tahoma" w:hAnsi="Tahoma" w:cs="Tahoma"/>
          <w:bCs/>
          <w:iCs/>
        </w:rPr>
        <w:t>7</w:t>
      </w:r>
      <w:r w:rsidR="004836B7" w:rsidRPr="001D5AE2">
        <w:rPr>
          <w:rFonts w:ascii="Tahoma" w:hAnsi="Tahoma" w:cs="Tahoma"/>
          <w:bCs/>
          <w:iCs/>
        </w:rPr>
        <w:t xml:space="preserve">, </w:t>
      </w:r>
      <w:r w:rsidR="00934A13" w:rsidRPr="001D5AE2">
        <w:rPr>
          <w:rFonts w:ascii="Tahoma" w:hAnsi="Tahoma" w:cs="Tahoma"/>
          <w:bCs/>
          <w:iCs/>
        </w:rPr>
        <w:t xml:space="preserve">4.80 </w:t>
      </w:r>
      <w:r w:rsidR="004836B7" w:rsidRPr="001D5AE2">
        <w:rPr>
          <w:rFonts w:ascii="Tahoma" w:hAnsi="Tahoma" w:cs="Tahoma"/>
          <w:bCs/>
          <w:iCs/>
        </w:rPr>
        <w:t>percent in 202</w:t>
      </w:r>
      <w:r w:rsidR="005E4667" w:rsidRPr="001D5AE2">
        <w:rPr>
          <w:rFonts w:ascii="Tahoma" w:hAnsi="Tahoma" w:cs="Tahoma"/>
          <w:bCs/>
          <w:iCs/>
        </w:rPr>
        <w:t>8</w:t>
      </w:r>
      <w:r w:rsidR="004836B7" w:rsidRPr="001D5AE2">
        <w:rPr>
          <w:rFonts w:ascii="Tahoma" w:hAnsi="Tahoma" w:cs="Tahoma"/>
          <w:bCs/>
          <w:iCs/>
        </w:rPr>
        <w:t xml:space="preserve">, </w:t>
      </w:r>
      <w:r w:rsidR="00D85588" w:rsidRPr="001D5AE2">
        <w:rPr>
          <w:rFonts w:ascii="Tahoma" w:hAnsi="Tahoma" w:cs="Tahoma"/>
          <w:bCs/>
          <w:iCs/>
        </w:rPr>
        <w:t xml:space="preserve">4.26 </w:t>
      </w:r>
      <w:r w:rsidR="004836B7" w:rsidRPr="001D5AE2">
        <w:rPr>
          <w:rFonts w:ascii="Tahoma" w:hAnsi="Tahoma" w:cs="Tahoma"/>
          <w:bCs/>
          <w:iCs/>
        </w:rPr>
        <w:t>percent in 202</w:t>
      </w:r>
      <w:r w:rsidR="005E4667" w:rsidRPr="001D5AE2">
        <w:rPr>
          <w:rFonts w:ascii="Tahoma" w:hAnsi="Tahoma" w:cs="Tahoma"/>
          <w:bCs/>
          <w:iCs/>
        </w:rPr>
        <w:t>9</w:t>
      </w:r>
      <w:r w:rsidR="004836B7" w:rsidRPr="001D5AE2">
        <w:rPr>
          <w:rFonts w:ascii="Tahoma" w:hAnsi="Tahoma" w:cs="Tahoma"/>
          <w:bCs/>
          <w:iCs/>
        </w:rPr>
        <w:t xml:space="preserve">, </w:t>
      </w:r>
      <w:r w:rsidR="00D85588" w:rsidRPr="001D5AE2">
        <w:rPr>
          <w:rFonts w:ascii="Tahoma" w:hAnsi="Tahoma" w:cs="Tahoma"/>
          <w:bCs/>
          <w:iCs/>
        </w:rPr>
        <w:t xml:space="preserve">4.13 </w:t>
      </w:r>
      <w:r w:rsidR="004836B7" w:rsidRPr="001D5AE2">
        <w:rPr>
          <w:rFonts w:ascii="Tahoma" w:hAnsi="Tahoma" w:cs="Tahoma"/>
          <w:bCs/>
          <w:iCs/>
        </w:rPr>
        <w:t>percent in 20</w:t>
      </w:r>
      <w:r w:rsidR="005E4667" w:rsidRPr="001D5AE2">
        <w:rPr>
          <w:rFonts w:ascii="Tahoma" w:hAnsi="Tahoma" w:cs="Tahoma"/>
          <w:bCs/>
          <w:iCs/>
        </w:rPr>
        <w:t>30</w:t>
      </w:r>
      <w:r w:rsidR="001677ED" w:rsidRPr="001D5AE2">
        <w:rPr>
          <w:rFonts w:ascii="Tahoma" w:hAnsi="Tahoma" w:cs="Tahoma"/>
          <w:bCs/>
          <w:iCs/>
        </w:rPr>
        <w:t xml:space="preserve">, </w:t>
      </w:r>
      <w:r w:rsidR="00D85588" w:rsidRPr="001D5AE2">
        <w:rPr>
          <w:rFonts w:ascii="Tahoma" w:hAnsi="Tahoma" w:cs="Tahoma"/>
          <w:bCs/>
          <w:iCs/>
        </w:rPr>
        <w:t xml:space="preserve">3.98 </w:t>
      </w:r>
      <w:r w:rsidR="004836B7" w:rsidRPr="001D5AE2">
        <w:rPr>
          <w:rFonts w:ascii="Tahoma" w:hAnsi="Tahoma" w:cs="Tahoma"/>
          <w:bCs/>
          <w:iCs/>
        </w:rPr>
        <w:t>percent in 203</w:t>
      </w:r>
      <w:r w:rsidR="005E4667" w:rsidRPr="001D5AE2">
        <w:rPr>
          <w:rFonts w:ascii="Tahoma" w:hAnsi="Tahoma" w:cs="Tahoma"/>
          <w:bCs/>
          <w:iCs/>
        </w:rPr>
        <w:t>1</w:t>
      </w:r>
      <w:r w:rsidR="004836B7" w:rsidRPr="001D5AE2">
        <w:rPr>
          <w:rFonts w:ascii="Tahoma" w:hAnsi="Tahoma" w:cs="Tahoma"/>
          <w:bCs/>
          <w:iCs/>
        </w:rPr>
        <w:t>,</w:t>
      </w:r>
      <w:r w:rsidR="00C02F5B" w:rsidRPr="001D5AE2">
        <w:rPr>
          <w:rFonts w:ascii="Tahoma" w:hAnsi="Tahoma" w:cs="Tahoma"/>
          <w:bCs/>
          <w:iCs/>
        </w:rPr>
        <w:t xml:space="preserve"> </w:t>
      </w:r>
      <w:r w:rsidR="0012174E" w:rsidRPr="001D5AE2">
        <w:rPr>
          <w:rFonts w:ascii="Tahoma" w:hAnsi="Tahoma" w:cs="Tahoma"/>
          <w:bCs/>
          <w:iCs/>
        </w:rPr>
        <w:t xml:space="preserve">3.82 </w:t>
      </w:r>
      <w:r w:rsidR="00C02F5B" w:rsidRPr="001D5AE2">
        <w:rPr>
          <w:rFonts w:ascii="Tahoma" w:hAnsi="Tahoma" w:cs="Tahoma"/>
          <w:bCs/>
          <w:iCs/>
        </w:rPr>
        <w:t xml:space="preserve">percent </w:t>
      </w:r>
      <w:r w:rsidR="00FD55FE" w:rsidRPr="001D5AE2">
        <w:rPr>
          <w:rFonts w:ascii="Tahoma" w:hAnsi="Tahoma" w:cs="Tahoma"/>
          <w:bCs/>
          <w:iCs/>
        </w:rPr>
        <w:t>in 2032</w:t>
      </w:r>
      <w:r w:rsidR="0012174E" w:rsidRPr="001D5AE2">
        <w:rPr>
          <w:rFonts w:ascii="Tahoma" w:hAnsi="Tahoma" w:cs="Tahoma"/>
          <w:bCs/>
          <w:iCs/>
        </w:rPr>
        <w:t xml:space="preserve"> and 3.74 percent </w:t>
      </w:r>
      <w:r w:rsidR="004F7779" w:rsidRPr="001D5AE2">
        <w:rPr>
          <w:rFonts w:ascii="Tahoma" w:hAnsi="Tahoma" w:cs="Tahoma"/>
          <w:bCs/>
          <w:iCs/>
        </w:rPr>
        <w:t>in 2033</w:t>
      </w:r>
      <w:r w:rsidR="00FD55FE" w:rsidRPr="001D5AE2">
        <w:rPr>
          <w:rFonts w:ascii="Tahoma" w:hAnsi="Tahoma" w:cs="Tahoma"/>
          <w:bCs/>
          <w:iCs/>
        </w:rPr>
        <w:t>,</w:t>
      </w:r>
      <w:r w:rsidR="004836B7" w:rsidRPr="001D5AE2">
        <w:rPr>
          <w:rFonts w:ascii="Tahoma" w:hAnsi="Tahoma" w:cs="Tahoma"/>
          <w:bCs/>
          <w:iCs/>
        </w:rPr>
        <w:t xml:space="preserve"> respectively, as against the indicative </w:t>
      </w:r>
      <w:r w:rsidR="004836B7" w:rsidRPr="001D5AE2">
        <w:rPr>
          <w:rFonts w:ascii="Tahoma" w:hAnsi="Tahoma" w:cs="Tahoma"/>
          <w:bCs/>
          <w:iCs/>
        </w:rPr>
        <w:lastRenderedPageBreak/>
        <w:t>threshold of 25 percent.</w:t>
      </w:r>
      <w:r w:rsidR="00690A8A" w:rsidRPr="001D5AE2">
        <w:rPr>
          <w:rFonts w:ascii="Tahoma" w:hAnsi="Tahoma" w:cs="Tahoma"/>
          <w:bCs/>
          <w:iCs/>
        </w:rPr>
        <w:t xml:space="preserve"> Kebbi State would remain under the threshold for Debt to SGDP ratio </w:t>
      </w:r>
      <w:r w:rsidR="00FD55FE" w:rsidRPr="001D5AE2">
        <w:rPr>
          <w:rFonts w:ascii="Tahoma" w:hAnsi="Tahoma" w:cs="Tahoma"/>
          <w:bCs/>
          <w:iCs/>
        </w:rPr>
        <w:t>of</w:t>
      </w:r>
      <w:r w:rsidR="00690A8A" w:rsidRPr="001D5AE2">
        <w:rPr>
          <w:rFonts w:ascii="Tahoma" w:hAnsi="Tahoma" w:cs="Tahoma"/>
          <w:bCs/>
          <w:iCs/>
        </w:rPr>
        <w:t xml:space="preserve"> 25 percent over the projection period.</w:t>
      </w:r>
    </w:p>
    <w:p w14:paraId="0E396F33" w14:textId="25CF2782" w:rsidR="004836B7" w:rsidRPr="001D5AE2" w:rsidRDefault="004836B7" w:rsidP="004836B7">
      <w:pPr>
        <w:spacing w:line="360" w:lineRule="auto"/>
        <w:jc w:val="both"/>
        <w:rPr>
          <w:rFonts w:ascii="Tahoma" w:hAnsi="Tahoma" w:cs="Tahoma"/>
          <w:bCs/>
          <w:iCs/>
        </w:rPr>
      </w:pPr>
      <w:r w:rsidRPr="001D5AE2">
        <w:rPr>
          <w:rFonts w:ascii="Tahoma" w:hAnsi="Tahoma" w:cs="Tahoma"/>
          <w:bCs/>
          <w:iCs/>
        </w:rPr>
        <w:t xml:space="preserve">On the Total Debt Sustainability Analysis, the results show that the ratio of Debt to revenue remains below its indicative threshold under the Baseline scenario. However, based on the Most Extreme Shock in Revenue, Expenditure, Exchange rate and Interest rate, and historical </w:t>
      </w:r>
      <w:r w:rsidR="00C955F4" w:rsidRPr="001D5AE2">
        <w:rPr>
          <w:rFonts w:ascii="Tahoma" w:hAnsi="Tahoma" w:cs="Tahoma"/>
          <w:bCs/>
          <w:iCs/>
        </w:rPr>
        <w:t>remain</w:t>
      </w:r>
      <w:r w:rsidRPr="001D5AE2">
        <w:rPr>
          <w:rFonts w:ascii="Tahoma" w:hAnsi="Tahoma" w:cs="Tahoma"/>
          <w:bCs/>
          <w:iCs/>
        </w:rPr>
        <w:t xml:space="preserve"> moderate debt distress over the projection period</w:t>
      </w:r>
      <w:r w:rsidR="002B6021" w:rsidRPr="001D5AE2">
        <w:rPr>
          <w:rFonts w:ascii="Tahoma" w:hAnsi="Tahoma" w:cs="Tahoma"/>
          <w:bCs/>
          <w:iCs/>
        </w:rPr>
        <w:t xml:space="preserve"> (Pease see Chart 22</w:t>
      </w:r>
      <w:r w:rsidR="00675CA7" w:rsidRPr="001D5AE2">
        <w:rPr>
          <w:rFonts w:ascii="Tahoma" w:hAnsi="Tahoma" w:cs="Tahoma"/>
          <w:bCs/>
          <w:iCs/>
        </w:rPr>
        <w:t xml:space="preserve"> and Chart 7</w:t>
      </w:r>
      <w:r w:rsidR="002B6021" w:rsidRPr="001D5AE2">
        <w:rPr>
          <w:rFonts w:ascii="Tahoma" w:hAnsi="Tahoma" w:cs="Tahoma"/>
          <w:bCs/>
          <w:iCs/>
        </w:rPr>
        <w:t xml:space="preserve"> </w:t>
      </w:r>
      <w:r w:rsidR="00C955F4" w:rsidRPr="001D5AE2">
        <w:rPr>
          <w:rFonts w:ascii="Tahoma" w:hAnsi="Tahoma" w:cs="Tahoma"/>
          <w:bCs/>
          <w:iCs/>
        </w:rPr>
        <w:t>in 31 of the report)</w:t>
      </w:r>
      <w:r w:rsidRPr="001D5AE2">
        <w:rPr>
          <w:rFonts w:ascii="Tahoma" w:hAnsi="Tahoma" w:cs="Tahoma"/>
          <w:bCs/>
          <w:iCs/>
        </w:rPr>
        <w:t>.</w:t>
      </w:r>
    </w:p>
    <w:p w14:paraId="4C6BBE69" w14:textId="515A6F27" w:rsidR="004836B7" w:rsidRPr="001D5AE2" w:rsidRDefault="001058E1" w:rsidP="004836B7">
      <w:pPr>
        <w:spacing w:line="360" w:lineRule="auto"/>
        <w:jc w:val="both"/>
        <w:rPr>
          <w:rFonts w:ascii="Tahoma" w:hAnsi="Tahoma" w:cs="Tahoma"/>
          <w:bCs/>
          <w:iCs/>
        </w:rPr>
      </w:pPr>
      <w:r w:rsidRPr="001D5AE2">
        <w:rPr>
          <w:rFonts w:ascii="Tahoma" w:hAnsi="Tahoma" w:cs="Tahoma"/>
          <w:bCs/>
          <w:iCs/>
        </w:rPr>
        <w:t xml:space="preserve">The Kebbi State </w:t>
      </w:r>
      <w:r w:rsidR="004836B7" w:rsidRPr="001D5AE2">
        <w:rPr>
          <w:rFonts w:ascii="Tahoma" w:hAnsi="Tahoma" w:cs="Tahoma"/>
          <w:bCs/>
          <w:iCs/>
        </w:rPr>
        <w:t>202</w:t>
      </w:r>
      <w:r w:rsidR="004F7779" w:rsidRPr="001D5AE2">
        <w:rPr>
          <w:rFonts w:ascii="Tahoma" w:hAnsi="Tahoma" w:cs="Tahoma"/>
          <w:bCs/>
          <w:iCs/>
        </w:rPr>
        <w:t>4</w:t>
      </w:r>
      <w:r w:rsidR="004836B7" w:rsidRPr="001D5AE2">
        <w:rPr>
          <w:rFonts w:ascii="Tahoma" w:hAnsi="Tahoma" w:cs="Tahoma"/>
          <w:bCs/>
          <w:iCs/>
        </w:rPr>
        <w:t xml:space="preserve"> DSA exercise shows that there is substantial Space to Borrow based on the state’s current revenue profile.  Meanwhile, the ratios of Debt Service to Revenue and Personnel Cost to Revenue trends </w:t>
      </w:r>
      <w:r w:rsidR="00C955F4" w:rsidRPr="001D5AE2">
        <w:rPr>
          <w:rFonts w:ascii="Tahoma" w:hAnsi="Tahoma" w:cs="Tahoma"/>
          <w:bCs/>
          <w:iCs/>
        </w:rPr>
        <w:t>remain</w:t>
      </w:r>
      <w:r w:rsidR="004836B7" w:rsidRPr="001D5AE2">
        <w:rPr>
          <w:rFonts w:ascii="Tahoma" w:hAnsi="Tahoma" w:cs="Tahoma"/>
          <w:bCs/>
          <w:iCs/>
        </w:rPr>
        <w:t xml:space="preserve"> under the threshold over the projection period from 202</w:t>
      </w:r>
      <w:r w:rsidR="006A102B" w:rsidRPr="001D5AE2">
        <w:rPr>
          <w:rFonts w:ascii="Tahoma" w:hAnsi="Tahoma" w:cs="Tahoma"/>
          <w:bCs/>
          <w:iCs/>
        </w:rPr>
        <w:t>4</w:t>
      </w:r>
      <w:r w:rsidR="004836B7" w:rsidRPr="001D5AE2">
        <w:rPr>
          <w:rFonts w:ascii="Tahoma" w:hAnsi="Tahoma" w:cs="Tahoma"/>
          <w:bCs/>
          <w:iCs/>
        </w:rPr>
        <w:t xml:space="preserve"> to 20</w:t>
      </w:r>
      <w:r w:rsidR="00093620" w:rsidRPr="001D5AE2">
        <w:rPr>
          <w:rFonts w:ascii="Tahoma" w:hAnsi="Tahoma" w:cs="Tahoma"/>
          <w:bCs/>
          <w:iCs/>
        </w:rPr>
        <w:t>3</w:t>
      </w:r>
      <w:r w:rsidR="006A102B" w:rsidRPr="001D5AE2">
        <w:rPr>
          <w:rFonts w:ascii="Tahoma" w:hAnsi="Tahoma" w:cs="Tahoma"/>
          <w:bCs/>
          <w:iCs/>
        </w:rPr>
        <w:t>3</w:t>
      </w:r>
      <w:r w:rsidR="004836B7" w:rsidRPr="001D5AE2">
        <w:rPr>
          <w:rFonts w:ascii="Tahoma" w:hAnsi="Tahoma" w:cs="Tahoma"/>
          <w:bCs/>
          <w:iCs/>
        </w:rPr>
        <w:t>, with the strongminded efforts by the State Government through its various initiatives and reforms in the key sectors of the economy.</w:t>
      </w:r>
      <w:r w:rsidRPr="001D5AE2">
        <w:rPr>
          <w:rFonts w:ascii="Tahoma" w:hAnsi="Tahoma" w:cs="Tahoma"/>
          <w:bCs/>
          <w:iCs/>
        </w:rPr>
        <w:t xml:space="preserve"> Kebbi State Debt remained sustainable on the revenue and debt indicators</w:t>
      </w:r>
      <w:r w:rsidR="00C955F4" w:rsidRPr="001D5AE2">
        <w:rPr>
          <w:rFonts w:ascii="Tahoma" w:hAnsi="Tahoma" w:cs="Tahoma"/>
          <w:bCs/>
          <w:iCs/>
        </w:rPr>
        <w:t xml:space="preserve"> (Pease see Chart 28 and Chart </w:t>
      </w:r>
      <w:r w:rsidR="00675CA7" w:rsidRPr="001D5AE2">
        <w:rPr>
          <w:rFonts w:ascii="Tahoma" w:hAnsi="Tahoma" w:cs="Tahoma"/>
          <w:bCs/>
          <w:iCs/>
        </w:rPr>
        <w:t xml:space="preserve">8 </w:t>
      </w:r>
      <w:r w:rsidR="00C955F4" w:rsidRPr="001D5AE2">
        <w:rPr>
          <w:rFonts w:ascii="Tahoma" w:hAnsi="Tahoma" w:cs="Tahoma"/>
          <w:bCs/>
          <w:iCs/>
        </w:rPr>
        <w:t>in 31 of the report)</w:t>
      </w:r>
      <w:r w:rsidRPr="001D5AE2">
        <w:rPr>
          <w:rFonts w:ascii="Tahoma" w:hAnsi="Tahoma" w:cs="Tahoma"/>
          <w:bCs/>
          <w:iCs/>
        </w:rPr>
        <w:t>.</w:t>
      </w:r>
    </w:p>
    <w:p w14:paraId="5C74958A" w14:textId="78090888" w:rsidR="004836B7" w:rsidRPr="001D5AE2" w:rsidRDefault="004836B7" w:rsidP="004836B7">
      <w:pPr>
        <w:spacing w:line="360" w:lineRule="auto"/>
        <w:jc w:val="both"/>
        <w:rPr>
          <w:rFonts w:ascii="Tahoma" w:hAnsi="Tahoma" w:cs="Tahoma"/>
          <w:bCs/>
          <w:iCs/>
        </w:rPr>
      </w:pPr>
      <w:r w:rsidRPr="001D5AE2">
        <w:rPr>
          <w:rFonts w:ascii="Tahoma" w:hAnsi="Tahoma" w:cs="Tahoma"/>
          <w:bCs/>
          <w:iCs/>
        </w:rPr>
        <w:t>The</w:t>
      </w:r>
      <w:r w:rsidR="00B02100" w:rsidRPr="001D5AE2">
        <w:rPr>
          <w:rFonts w:ascii="Tahoma" w:hAnsi="Tahoma" w:cs="Tahoma"/>
          <w:bCs/>
          <w:iCs/>
        </w:rPr>
        <w:t xml:space="preserve"> 2024 DSA analysis revealed that the </w:t>
      </w:r>
      <w:r w:rsidRPr="001D5AE2">
        <w:rPr>
          <w:rFonts w:ascii="Tahoma" w:hAnsi="Tahoma" w:cs="Tahoma"/>
          <w:bCs/>
          <w:iCs/>
        </w:rPr>
        <w:t xml:space="preserve">revenue-based indicators show that the Debt to Revenue </w:t>
      </w:r>
      <w:r w:rsidR="00940739" w:rsidRPr="001D5AE2">
        <w:rPr>
          <w:rFonts w:ascii="Tahoma" w:hAnsi="Tahoma" w:cs="Tahoma"/>
          <w:bCs/>
          <w:iCs/>
        </w:rPr>
        <w:t xml:space="preserve">projected </w:t>
      </w:r>
      <w:r w:rsidR="0048327F" w:rsidRPr="001D5AE2">
        <w:rPr>
          <w:rFonts w:ascii="Tahoma" w:hAnsi="Tahoma" w:cs="Tahoma"/>
          <w:bCs/>
          <w:iCs/>
        </w:rPr>
        <w:t xml:space="preserve">at </w:t>
      </w:r>
      <w:r w:rsidR="000E557D" w:rsidRPr="001D5AE2">
        <w:rPr>
          <w:rFonts w:ascii="Tahoma" w:hAnsi="Tahoma" w:cs="Tahoma"/>
          <w:bCs/>
          <w:iCs/>
        </w:rPr>
        <w:t>78.30 percent in 2024,</w:t>
      </w:r>
      <w:r w:rsidR="004D0712" w:rsidRPr="001D5AE2">
        <w:rPr>
          <w:rFonts w:ascii="Tahoma" w:hAnsi="Tahoma" w:cs="Tahoma"/>
          <w:bCs/>
          <w:iCs/>
        </w:rPr>
        <w:t xml:space="preserve"> </w:t>
      </w:r>
      <w:r w:rsidR="000E557D" w:rsidRPr="001D5AE2">
        <w:rPr>
          <w:rFonts w:ascii="Tahoma" w:hAnsi="Tahoma" w:cs="Tahoma"/>
          <w:bCs/>
          <w:iCs/>
        </w:rPr>
        <w:t xml:space="preserve">77.04 </w:t>
      </w:r>
      <w:r w:rsidR="006E5983" w:rsidRPr="001D5AE2">
        <w:rPr>
          <w:rFonts w:ascii="Tahoma" w:hAnsi="Tahoma" w:cs="Tahoma"/>
          <w:bCs/>
          <w:iCs/>
        </w:rPr>
        <w:t>percent in 202</w:t>
      </w:r>
      <w:r w:rsidR="009E5F09" w:rsidRPr="001D5AE2">
        <w:rPr>
          <w:rFonts w:ascii="Tahoma" w:hAnsi="Tahoma" w:cs="Tahoma"/>
          <w:bCs/>
          <w:iCs/>
        </w:rPr>
        <w:t>6</w:t>
      </w:r>
      <w:r w:rsidR="006E5983" w:rsidRPr="001D5AE2">
        <w:rPr>
          <w:rFonts w:ascii="Tahoma" w:hAnsi="Tahoma" w:cs="Tahoma"/>
          <w:bCs/>
          <w:iCs/>
        </w:rPr>
        <w:t xml:space="preserve">, </w:t>
      </w:r>
      <w:r w:rsidR="00EB34D4" w:rsidRPr="001D5AE2">
        <w:rPr>
          <w:rFonts w:ascii="Tahoma" w:hAnsi="Tahoma" w:cs="Tahoma"/>
          <w:bCs/>
          <w:iCs/>
        </w:rPr>
        <w:t xml:space="preserve">72.62 percent </w:t>
      </w:r>
      <w:r w:rsidR="0070045E" w:rsidRPr="001D5AE2">
        <w:rPr>
          <w:rFonts w:ascii="Tahoma" w:hAnsi="Tahoma" w:cs="Tahoma"/>
          <w:bCs/>
          <w:iCs/>
        </w:rPr>
        <w:t>in 202</w:t>
      </w:r>
      <w:r w:rsidR="00843EF2" w:rsidRPr="001D5AE2">
        <w:rPr>
          <w:rFonts w:ascii="Tahoma" w:hAnsi="Tahoma" w:cs="Tahoma"/>
          <w:bCs/>
          <w:iCs/>
        </w:rPr>
        <w:t>9</w:t>
      </w:r>
      <w:r w:rsidR="0070045E" w:rsidRPr="001D5AE2">
        <w:rPr>
          <w:rFonts w:ascii="Tahoma" w:hAnsi="Tahoma" w:cs="Tahoma"/>
          <w:bCs/>
          <w:iCs/>
        </w:rPr>
        <w:t xml:space="preserve">, </w:t>
      </w:r>
      <w:r w:rsidR="00EB34D4" w:rsidRPr="001D5AE2">
        <w:rPr>
          <w:rFonts w:ascii="Tahoma" w:hAnsi="Tahoma" w:cs="Tahoma"/>
          <w:bCs/>
          <w:iCs/>
        </w:rPr>
        <w:t>69</w:t>
      </w:r>
      <w:r w:rsidR="000E0B66" w:rsidRPr="001D5AE2">
        <w:rPr>
          <w:rFonts w:ascii="Tahoma" w:hAnsi="Tahoma" w:cs="Tahoma"/>
          <w:bCs/>
          <w:iCs/>
        </w:rPr>
        <w:t xml:space="preserve">.38 percent in 2030 and 72.11 </w:t>
      </w:r>
      <w:r w:rsidR="0070045E" w:rsidRPr="001D5AE2">
        <w:rPr>
          <w:rFonts w:ascii="Tahoma" w:hAnsi="Tahoma" w:cs="Tahoma"/>
          <w:bCs/>
          <w:iCs/>
        </w:rPr>
        <w:t>percent in 203</w:t>
      </w:r>
      <w:r w:rsidR="00890F7A" w:rsidRPr="001D5AE2">
        <w:rPr>
          <w:rFonts w:ascii="Tahoma" w:hAnsi="Tahoma" w:cs="Tahoma"/>
          <w:bCs/>
          <w:iCs/>
        </w:rPr>
        <w:t>2</w:t>
      </w:r>
      <w:r w:rsidR="004755E9" w:rsidRPr="001D5AE2">
        <w:rPr>
          <w:rFonts w:ascii="Tahoma" w:hAnsi="Tahoma" w:cs="Tahoma"/>
          <w:bCs/>
          <w:iCs/>
        </w:rPr>
        <w:t xml:space="preserve"> </w:t>
      </w:r>
      <w:r w:rsidR="0070045E" w:rsidRPr="001D5AE2">
        <w:rPr>
          <w:rFonts w:ascii="Tahoma" w:hAnsi="Tahoma" w:cs="Tahoma"/>
          <w:bCs/>
          <w:iCs/>
        </w:rPr>
        <w:t xml:space="preserve">the trends </w:t>
      </w:r>
      <w:r w:rsidR="00BF2304" w:rsidRPr="001D5AE2">
        <w:rPr>
          <w:rFonts w:ascii="Tahoma" w:hAnsi="Tahoma" w:cs="Tahoma"/>
          <w:bCs/>
          <w:iCs/>
        </w:rPr>
        <w:t>remain</w:t>
      </w:r>
      <w:r w:rsidR="0070045E" w:rsidRPr="001D5AE2">
        <w:rPr>
          <w:rFonts w:ascii="Tahoma" w:hAnsi="Tahoma" w:cs="Tahoma"/>
          <w:bCs/>
          <w:iCs/>
        </w:rPr>
        <w:t xml:space="preserve"> below the threshold </w:t>
      </w:r>
      <w:r w:rsidRPr="001D5AE2">
        <w:rPr>
          <w:rFonts w:ascii="Tahoma" w:hAnsi="Tahoma" w:cs="Tahoma"/>
          <w:bCs/>
          <w:iCs/>
        </w:rPr>
        <w:t xml:space="preserve">of 200 percent. </w:t>
      </w:r>
    </w:p>
    <w:p w14:paraId="7F99AF56" w14:textId="16403343" w:rsidR="004836B7" w:rsidRPr="001D5AE2" w:rsidRDefault="008E0C59" w:rsidP="004836B7">
      <w:pPr>
        <w:spacing w:line="360" w:lineRule="auto"/>
        <w:jc w:val="both"/>
        <w:rPr>
          <w:rFonts w:ascii="Tahoma" w:hAnsi="Tahoma" w:cs="Tahoma"/>
          <w:bCs/>
          <w:iCs/>
        </w:rPr>
      </w:pPr>
      <w:r w:rsidRPr="001D5AE2">
        <w:rPr>
          <w:rFonts w:ascii="Tahoma" w:hAnsi="Tahoma" w:cs="Tahoma"/>
          <w:bCs/>
          <w:iCs/>
        </w:rPr>
        <w:t xml:space="preserve">The outcomes of the 2024 </w:t>
      </w:r>
      <w:r w:rsidR="003E6F69" w:rsidRPr="001D5AE2">
        <w:rPr>
          <w:rFonts w:ascii="Tahoma" w:hAnsi="Tahoma" w:cs="Tahoma"/>
          <w:bCs/>
          <w:iCs/>
        </w:rPr>
        <w:t xml:space="preserve">DSA analysis revealed that the </w:t>
      </w:r>
      <w:r w:rsidR="004836B7" w:rsidRPr="001D5AE2">
        <w:rPr>
          <w:rFonts w:ascii="Tahoma" w:hAnsi="Tahoma" w:cs="Tahoma"/>
          <w:bCs/>
          <w:iCs/>
        </w:rPr>
        <w:t>Debt Service to Revenue</w:t>
      </w:r>
      <w:r w:rsidR="003E6F69" w:rsidRPr="001D5AE2">
        <w:rPr>
          <w:rFonts w:ascii="Tahoma" w:hAnsi="Tahoma" w:cs="Tahoma"/>
          <w:bCs/>
          <w:iCs/>
        </w:rPr>
        <w:t xml:space="preserve"> </w:t>
      </w:r>
      <w:r w:rsidR="004836B7" w:rsidRPr="001D5AE2">
        <w:rPr>
          <w:rFonts w:ascii="Tahoma" w:hAnsi="Tahoma" w:cs="Tahoma"/>
          <w:bCs/>
          <w:iCs/>
        </w:rPr>
        <w:t>ratios</w:t>
      </w:r>
      <w:r w:rsidR="009B2D5B" w:rsidRPr="001D5AE2">
        <w:rPr>
          <w:rFonts w:ascii="Tahoma" w:hAnsi="Tahoma" w:cs="Tahoma"/>
          <w:bCs/>
          <w:iCs/>
        </w:rPr>
        <w:t xml:space="preserve"> was estimated to </w:t>
      </w:r>
      <w:r w:rsidR="002F7301" w:rsidRPr="001D5AE2">
        <w:rPr>
          <w:rFonts w:ascii="Tahoma" w:hAnsi="Tahoma" w:cs="Tahoma"/>
          <w:bCs/>
          <w:iCs/>
        </w:rPr>
        <w:t>5.</w:t>
      </w:r>
      <w:r w:rsidR="00AC1AB7" w:rsidRPr="001D5AE2">
        <w:rPr>
          <w:rFonts w:ascii="Tahoma" w:hAnsi="Tahoma" w:cs="Tahoma"/>
          <w:bCs/>
          <w:iCs/>
        </w:rPr>
        <w:t>14 percent</w:t>
      </w:r>
      <w:r w:rsidR="002F7301" w:rsidRPr="001D5AE2">
        <w:rPr>
          <w:rFonts w:ascii="Tahoma" w:hAnsi="Tahoma" w:cs="Tahoma"/>
          <w:bCs/>
          <w:iCs/>
        </w:rPr>
        <w:t xml:space="preserve">, </w:t>
      </w:r>
      <w:r w:rsidR="001C36C1" w:rsidRPr="001D5AE2">
        <w:rPr>
          <w:rFonts w:ascii="Tahoma" w:hAnsi="Tahoma" w:cs="Tahoma"/>
          <w:bCs/>
          <w:iCs/>
        </w:rPr>
        <w:t>6.87 percent</w:t>
      </w:r>
      <w:r w:rsidR="001C4EC6" w:rsidRPr="001D5AE2">
        <w:rPr>
          <w:rFonts w:ascii="Tahoma" w:hAnsi="Tahoma" w:cs="Tahoma"/>
          <w:bCs/>
          <w:iCs/>
        </w:rPr>
        <w:t xml:space="preserve">, </w:t>
      </w:r>
      <w:r w:rsidR="001C36C1" w:rsidRPr="001D5AE2">
        <w:rPr>
          <w:rFonts w:ascii="Tahoma" w:hAnsi="Tahoma" w:cs="Tahoma"/>
          <w:bCs/>
          <w:iCs/>
        </w:rPr>
        <w:t>10.02 percent</w:t>
      </w:r>
      <w:r w:rsidR="001C4EC6" w:rsidRPr="001D5AE2">
        <w:rPr>
          <w:rFonts w:ascii="Tahoma" w:hAnsi="Tahoma" w:cs="Tahoma"/>
          <w:bCs/>
          <w:iCs/>
        </w:rPr>
        <w:t xml:space="preserve">, </w:t>
      </w:r>
      <w:r w:rsidR="0017517D" w:rsidRPr="001D5AE2">
        <w:rPr>
          <w:rFonts w:ascii="Tahoma" w:hAnsi="Tahoma" w:cs="Tahoma"/>
          <w:bCs/>
          <w:iCs/>
        </w:rPr>
        <w:t xml:space="preserve">13.55 </w:t>
      </w:r>
      <w:r w:rsidR="001C4EC6" w:rsidRPr="001D5AE2">
        <w:rPr>
          <w:rFonts w:ascii="Tahoma" w:hAnsi="Tahoma" w:cs="Tahoma"/>
          <w:bCs/>
          <w:iCs/>
        </w:rPr>
        <w:t xml:space="preserve">percent, </w:t>
      </w:r>
      <w:r w:rsidR="0017517D" w:rsidRPr="001D5AE2">
        <w:rPr>
          <w:rFonts w:ascii="Tahoma" w:hAnsi="Tahoma" w:cs="Tahoma"/>
          <w:bCs/>
          <w:iCs/>
        </w:rPr>
        <w:t xml:space="preserve">14.44 </w:t>
      </w:r>
      <w:r w:rsidR="001C4EC6" w:rsidRPr="001D5AE2">
        <w:rPr>
          <w:rFonts w:ascii="Tahoma" w:hAnsi="Tahoma" w:cs="Tahoma"/>
          <w:bCs/>
          <w:iCs/>
        </w:rPr>
        <w:t xml:space="preserve">percent, </w:t>
      </w:r>
      <w:r w:rsidR="0017517D" w:rsidRPr="001D5AE2">
        <w:rPr>
          <w:rFonts w:ascii="Tahoma" w:hAnsi="Tahoma" w:cs="Tahoma"/>
          <w:bCs/>
          <w:iCs/>
        </w:rPr>
        <w:t xml:space="preserve">13.61 </w:t>
      </w:r>
      <w:r w:rsidR="00BF62A7" w:rsidRPr="001D5AE2">
        <w:rPr>
          <w:rFonts w:ascii="Tahoma" w:hAnsi="Tahoma" w:cs="Tahoma"/>
          <w:bCs/>
          <w:iCs/>
        </w:rPr>
        <w:t xml:space="preserve">percent, </w:t>
      </w:r>
      <w:r w:rsidR="0017517D" w:rsidRPr="001D5AE2">
        <w:rPr>
          <w:rFonts w:ascii="Tahoma" w:hAnsi="Tahoma" w:cs="Tahoma"/>
          <w:bCs/>
          <w:iCs/>
        </w:rPr>
        <w:t>12.</w:t>
      </w:r>
      <w:r w:rsidR="00755788" w:rsidRPr="001D5AE2">
        <w:rPr>
          <w:rFonts w:ascii="Tahoma" w:hAnsi="Tahoma" w:cs="Tahoma"/>
          <w:bCs/>
          <w:iCs/>
        </w:rPr>
        <w:t xml:space="preserve">73 </w:t>
      </w:r>
      <w:r w:rsidR="00BF62A7" w:rsidRPr="001D5AE2">
        <w:rPr>
          <w:rFonts w:ascii="Tahoma" w:hAnsi="Tahoma" w:cs="Tahoma"/>
          <w:bCs/>
          <w:iCs/>
        </w:rPr>
        <w:t xml:space="preserve">percent, </w:t>
      </w:r>
      <w:r w:rsidR="00755788" w:rsidRPr="001D5AE2">
        <w:rPr>
          <w:rFonts w:ascii="Tahoma" w:hAnsi="Tahoma" w:cs="Tahoma"/>
          <w:bCs/>
          <w:iCs/>
        </w:rPr>
        <w:t xml:space="preserve">11.90 </w:t>
      </w:r>
      <w:r w:rsidR="005C721F" w:rsidRPr="001D5AE2">
        <w:rPr>
          <w:rFonts w:ascii="Tahoma" w:hAnsi="Tahoma" w:cs="Tahoma"/>
          <w:bCs/>
          <w:iCs/>
        </w:rPr>
        <w:t xml:space="preserve">percent, </w:t>
      </w:r>
      <w:r w:rsidR="00755788" w:rsidRPr="001D5AE2">
        <w:rPr>
          <w:rFonts w:ascii="Tahoma" w:hAnsi="Tahoma" w:cs="Tahoma"/>
          <w:bCs/>
          <w:iCs/>
        </w:rPr>
        <w:t xml:space="preserve">11.77 </w:t>
      </w:r>
      <w:r w:rsidR="005C721F" w:rsidRPr="001D5AE2">
        <w:rPr>
          <w:rFonts w:ascii="Tahoma" w:hAnsi="Tahoma" w:cs="Tahoma"/>
          <w:bCs/>
          <w:iCs/>
        </w:rPr>
        <w:t xml:space="preserve">percent, </w:t>
      </w:r>
      <w:r w:rsidR="005E5762" w:rsidRPr="001D5AE2">
        <w:rPr>
          <w:rFonts w:ascii="Tahoma" w:hAnsi="Tahoma" w:cs="Tahoma"/>
          <w:bCs/>
          <w:iCs/>
        </w:rPr>
        <w:t xml:space="preserve">and 12.71 </w:t>
      </w:r>
      <w:r w:rsidR="00FE2C00" w:rsidRPr="001D5AE2">
        <w:rPr>
          <w:rFonts w:ascii="Tahoma" w:hAnsi="Tahoma" w:cs="Tahoma"/>
          <w:bCs/>
          <w:iCs/>
        </w:rPr>
        <w:t xml:space="preserve">percent in </w:t>
      </w:r>
      <w:r w:rsidR="005E5762" w:rsidRPr="001D5AE2">
        <w:rPr>
          <w:rFonts w:ascii="Tahoma" w:hAnsi="Tahoma" w:cs="Tahoma"/>
          <w:bCs/>
          <w:iCs/>
        </w:rPr>
        <w:t xml:space="preserve">the period of </w:t>
      </w:r>
      <w:r w:rsidR="00145122" w:rsidRPr="001D5AE2">
        <w:rPr>
          <w:rFonts w:ascii="Tahoma" w:hAnsi="Tahoma" w:cs="Tahoma"/>
          <w:bCs/>
          <w:iCs/>
        </w:rPr>
        <w:t>2024, 2025, 2026, 2027, 2028, 2029, 2030, 2032</w:t>
      </w:r>
      <w:r w:rsidR="00D70DC7" w:rsidRPr="001D5AE2">
        <w:rPr>
          <w:rFonts w:ascii="Tahoma" w:hAnsi="Tahoma" w:cs="Tahoma"/>
          <w:bCs/>
          <w:iCs/>
        </w:rPr>
        <w:t>,</w:t>
      </w:r>
      <w:r w:rsidR="00145122" w:rsidRPr="001D5AE2">
        <w:rPr>
          <w:rFonts w:ascii="Tahoma" w:hAnsi="Tahoma" w:cs="Tahoma"/>
          <w:bCs/>
          <w:iCs/>
        </w:rPr>
        <w:t xml:space="preserve"> and </w:t>
      </w:r>
      <w:r w:rsidR="00D70DC7" w:rsidRPr="001D5AE2">
        <w:rPr>
          <w:rFonts w:ascii="Tahoma" w:hAnsi="Tahoma" w:cs="Tahoma"/>
          <w:bCs/>
          <w:iCs/>
        </w:rPr>
        <w:t>203</w:t>
      </w:r>
      <w:r w:rsidR="005E5762" w:rsidRPr="001D5AE2">
        <w:rPr>
          <w:rFonts w:ascii="Tahoma" w:hAnsi="Tahoma" w:cs="Tahoma"/>
          <w:bCs/>
          <w:iCs/>
        </w:rPr>
        <w:t>3</w:t>
      </w:r>
      <w:r w:rsidR="00D70DC7" w:rsidRPr="001D5AE2">
        <w:rPr>
          <w:rFonts w:ascii="Tahoma" w:hAnsi="Tahoma" w:cs="Tahoma"/>
          <w:bCs/>
          <w:iCs/>
        </w:rPr>
        <w:t xml:space="preserve"> respectively</w:t>
      </w:r>
      <w:r w:rsidR="004836B7" w:rsidRPr="001D5AE2">
        <w:rPr>
          <w:rFonts w:ascii="Tahoma" w:hAnsi="Tahoma" w:cs="Tahoma"/>
          <w:bCs/>
          <w:iCs/>
        </w:rPr>
        <w:t>, as against the threshold of 40 percent to the end of the projection period in the medium to long term.</w:t>
      </w:r>
    </w:p>
    <w:p w14:paraId="45E87F23" w14:textId="20BC4960" w:rsidR="004836B7" w:rsidRPr="001D5AE2" w:rsidRDefault="004836B7" w:rsidP="004836B7">
      <w:pPr>
        <w:spacing w:line="360" w:lineRule="auto"/>
        <w:jc w:val="both"/>
        <w:rPr>
          <w:rFonts w:ascii="Tahoma" w:hAnsi="Tahoma" w:cs="Tahoma"/>
          <w:bCs/>
          <w:iCs/>
        </w:rPr>
      </w:pPr>
      <w:r w:rsidRPr="001D5AE2">
        <w:rPr>
          <w:rFonts w:ascii="Tahoma" w:hAnsi="Tahoma" w:cs="Tahoma"/>
          <w:bCs/>
          <w:iCs/>
        </w:rPr>
        <w:t>The Personnel Cost to Revenue remained under state threshold of 60 percent</w:t>
      </w:r>
      <w:r w:rsidR="008F7CA5" w:rsidRPr="001D5AE2">
        <w:rPr>
          <w:rFonts w:ascii="Tahoma" w:hAnsi="Tahoma" w:cs="Tahoma"/>
          <w:bCs/>
          <w:iCs/>
        </w:rPr>
        <w:t xml:space="preserve"> from </w:t>
      </w:r>
      <w:r w:rsidR="00972B53" w:rsidRPr="001D5AE2">
        <w:rPr>
          <w:rFonts w:ascii="Tahoma" w:hAnsi="Tahoma" w:cs="Tahoma"/>
          <w:bCs/>
          <w:iCs/>
        </w:rPr>
        <w:t xml:space="preserve">2023 </w:t>
      </w:r>
      <w:r w:rsidR="00DA1B00" w:rsidRPr="001D5AE2">
        <w:rPr>
          <w:rFonts w:ascii="Tahoma" w:hAnsi="Tahoma" w:cs="Tahoma"/>
          <w:bCs/>
          <w:iCs/>
        </w:rPr>
        <w:t>to 2032</w:t>
      </w:r>
      <w:r w:rsidRPr="001D5AE2">
        <w:rPr>
          <w:rFonts w:ascii="Tahoma" w:hAnsi="Tahoma" w:cs="Tahoma"/>
          <w:bCs/>
          <w:iCs/>
        </w:rPr>
        <w:t xml:space="preserve">. </w:t>
      </w:r>
    </w:p>
    <w:p w14:paraId="60CB8347" w14:textId="77777777" w:rsidR="00471E55" w:rsidRPr="001D5AE2" w:rsidRDefault="00471E55" w:rsidP="004836B7">
      <w:pPr>
        <w:spacing w:line="360" w:lineRule="auto"/>
        <w:jc w:val="both"/>
        <w:rPr>
          <w:rFonts w:ascii="Tahoma" w:hAnsi="Tahoma" w:cs="Tahoma"/>
          <w:bCs/>
          <w:iCs/>
        </w:rPr>
      </w:pPr>
    </w:p>
    <w:p w14:paraId="1AF54EBD" w14:textId="77777777" w:rsidR="00471E55" w:rsidRPr="001D5AE2" w:rsidRDefault="00471E55" w:rsidP="004836B7">
      <w:pPr>
        <w:spacing w:line="360" w:lineRule="auto"/>
        <w:jc w:val="both"/>
        <w:rPr>
          <w:rFonts w:ascii="Tahoma" w:hAnsi="Tahoma" w:cs="Tahoma"/>
          <w:bCs/>
          <w:iCs/>
        </w:rPr>
      </w:pPr>
    </w:p>
    <w:p w14:paraId="2B666AC0" w14:textId="77777777" w:rsidR="00BE240D" w:rsidRPr="001D5AE2" w:rsidRDefault="00BE240D" w:rsidP="00BE240D">
      <w:pPr>
        <w:spacing w:after="0" w:line="360" w:lineRule="auto"/>
        <w:jc w:val="both"/>
        <w:rPr>
          <w:rFonts w:ascii="Tahoma" w:hAnsi="Tahoma" w:cs="Tahoma"/>
          <w:bCs/>
          <w:iCs/>
        </w:rPr>
      </w:pPr>
      <w:r w:rsidRPr="001D5AE2">
        <w:rPr>
          <w:rFonts w:ascii="Tahoma" w:hAnsi="Tahoma" w:cs="Tahoma"/>
          <w:b/>
          <w:bCs/>
        </w:rPr>
        <w:lastRenderedPageBreak/>
        <w:t>Kebbi State Debt burden indicators, 2024-2033</w:t>
      </w:r>
    </w:p>
    <w:tbl>
      <w:tblPr>
        <w:tblW w:w="9071" w:type="dxa"/>
        <w:tblLook w:val="04A0" w:firstRow="1" w:lastRow="0" w:firstColumn="1" w:lastColumn="0" w:noHBand="0" w:noVBand="1"/>
      </w:tblPr>
      <w:tblGrid>
        <w:gridCol w:w="1838"/>
        <w:gridCol w:w="963"/>
        <w:gridCol w:w="627"/>
        <w:gridCol w:w="627"/>
        <w:gridCol w:w="627"/>
        <w:gridCol w:w="627"/>
        <w:gridCol w:w="627"/>
        <w:gridCol w:w="627"/>
        <w:gridCol w:w="627"/>
        <w:gridCol w:w="627"/>
        <w:gridCol w:w="627"/>
        <w:gridCol w:w="627"/>
      </w:tblGrid>
      <w:tr w:rsidR="00BE240D" w:rsidRPr="001D5AE2" w14:paraId="7F17FDFB" w14:textId="77777777" w:rsidTr="00BE240D">
        <w:trPr>
          <w:trHeight w:val="286"/>
        </w:trPr>
        <w:tc>
          <w:tcPr>
            <w:tcW w:w="1838"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131A0A5D" w14:textId="77777777" w:rsidR="00BE240D" w:rsidRPr="001D5AE2" w:rsidRDefault="00BE240D" w:rsidP="0097614A">
            <w:pPr>
              <w:spacing w:after="0" w:line="240" w:lineRule="auto"/>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 Indicator</w:t>
            </w:r>
          </w:p>
        </w:tc>
        <w:tc>
          <w:tcPr>
            <w:tcW w:w="963" w:type="dxa"/>
            <w:tcBorders>
              <w:top w:val="single" w:sz="4" w:space="0" w:color="auto"/>
              <w:left w:val="nil"/>
              <w:bottom w:val="single" w:sz="4" w:space="0" w:color="auto"/>
              <w:right w:val="single" w:sz="4" w:space="0" w:color="auto"/>
            </w:tcBorders>
            <w:shd w:val="clear" w:color="auto" w:fill="92D050"/>
            <w:noWrap/>
            <w:vAlign w:val="bottom"/>
            <w:hideMark/>
          </w:tcPr>
          <w:p w14:paraId="690C579E" w14:textId="77777777" w:rsidR="00BE240D" w:rsidRPr="001D5AE2" w:rsidRDefault="00BE240D" w:rsidP="0097614A">
            <w:pPr>
              <w:spacing w:after="0" w:line="240" w:lineRule="auto"/>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Threshold</w:t>
            </w:r>
          </w:p>
        </w:tc>
        <w:tc>
          <w:tcPr>
            <w:tcW w:w="627" w:type="dxa"/>
            <w:tcBorders>
              <w:top w:val="single" w:sz="4" w:space="0" w:color="auto"/>
              <w:left w:val="nil"/>
              <w:bottom w:val="single" w:sz="4" w:space="0" w:color="auto"/>
              <w:right w:val="single" w:sz="4" w:space="0" w:color="auto"/>
            </w:tcBorders>
            <w:shd w:val="clear" w:color="auto" w:fill="92D050"/>
            <w:noWrap/>
            <w:vAlign w:val="bottom"/>
            <w:hideMark/>
          </w:tcPr>
          <w:p w14:paraId="198A2D54"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2024</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64F9BCB1"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2025</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5BC8AF96"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2026</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3D04ECCD"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2027</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00FD501D"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2028</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10F721A2"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2029</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73D20710"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2030</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5B65D387"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2031</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6C70DB0D"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2032</w:t>
            </w:r>
          </w:p>
        </w:tc>
        <w:tc>
          <w:tcPr>
            <w:tcW w:w="627" w:type="dxa"/>
            <w:tcBorders>
              <w:top w:val="single" w:sz="4" w:space="0" w:color="auto"/>
              <w:left w:val="nil"/>
              <w:bottom w:val="single" w:sz="4" w:space="0" w:color="auto"/>
              <w:right w:val="single" w:sz="4" w:space="0" w:color="auto"/>
            </w:tcBorders>
            <w:shd w:val="clear" w:color="auto" w:fill="92D050"/>
            <w:noWrap/>
            <w:vAlign w:val="bottom"/>
          </w:tcPr>
          <w:p w14:paraId="409068F9" w14:textId="77777777" w:rsidR="00BE240D" w:rsidRPr="001D5AE2" w:rsidRDefault="00BE240D" w:rsidP="0097614A">
            <w:pPr>
              <w:spacing w:after="0" w:line="240" w:lineRule="auto"/>
              <w:jc w:val="center"/>
              <w:rPr>
                <w:rFonts w:ascii="Calibri" w:eastAsia="Times New Roman" w:hAnsi="Calibri" w:cs="Calibri"/>
                <w:b/>
                <w:bCs/>
                <w:color w:val="000000"/>
                <w:sz w:val="18"/>
                <w:szCs w:val="18"/>
              </w:rPr>
            </w:pPr>
            <w:r w:rsidRPr="001D5AE2">
              <w:rPr>
                <w:rFonts w:ascii="Calibri" w:eastAsia="Times New Roman" w:hAnsi="Calibri" w:cs="Calibri"/>
                <w:b/>
                <w:bCs/>
                <w:color w:val="000000"/>
                <w:sz w:val="18"/>
                <w:szCs w:val="18"/>
              </w:rPr>
              <w:t>2033</w:t>
            </w:r>
          </w:p>
        </w:tc>
      </w:tr>
      <w:tr w:rsidR="00BE240D" w:rsidRPr="001D5AE2" w14:paraId="29E8B92E"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6778B1B"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Debt as % of SGDP</w:t>
            </w:r>
          </w:p>
        </w:tc>
        <w:tc>
          <w:tcPr>
            <w:tcW w:w="963" w:type="dxa"/>
            <w:tcBorders>
              <w:top w:val="nil"/>
              <w:left w:val="nil"/>
              <w:bottom w:val="single" w:sz="4" w:space="0" w:color="auto"/>
              <w:right w:val="single" w:sz="4" w:space="0" w:color="auto"/>
            </w:tcBorders>
            <w:shd w:val="clear" w:color="auto" w:fill="auto"/>
            <w:noWrap/>
            <w:vAlign w:val="bottom"/>
            <w:hideMark/>
          </w:tcPr>
          <w:p w14:paraId="43206DA4"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25</w:t>
            </w:r>
          </w:p>
        </w:tc>
        <w:tc>
          <w:tcPr>
            <w:tcW w:w="627" w:type="dxa"/>
            <w:tcBorders>
              <w:top w:val="nil"/>
              <w:left w:val="nil"/>
              <w:bottom w:val="single" w:sz="4" w:space="0" w:color="auto"/>
              <w:right w:val="single" w:sz="4" w:space="0" w:color="auto"/>
            </w:tcBorders>
            <w:shd w:val="clear" w:color="auto" w:fill="auto"/>
            <w:noWrap/>
            <w:hideMark/>
          </w:tcPr>
          <w:p w14:paraId="4E1AF67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5.54</w:t>
            </w:r>
          </w:p>
        </w:tc>
        <w:tc>
          <w:tcPr>
            <w:tcW w:w="627" w:type="dxa"/>
            <w:tcBorders>
              <w:top w:val="nil"/>
              <w:left w:val="nil"/>
              <w:bottom w:val="single" w:sz="4" w:space="0" w:color="auto"/>
              <w:right w:val="single" w:sz="4" w:space="0" w:color="auto"/>
            </w:tcBorders>
            <w:shd w:val="clear" w:color="auto" w:fill="auto"/>
            <w:noWrap/>
            <w:hideMark/>
          </w:tcPr>
          <w:p w14:paraId="7B6DC41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5.59</w:t>
            </w:r>
          </w:p>
        </w:tc>
        <w:tc>
          <w:tcPr>
            <w:tcW w:w="627" w:type="dxa"/>
            <w:tcBorders>
              <w:top w:val="nil"/>
              <w:left w:val="nil"/>
              <w:bottom w:val="single" w:sz="4" w:space="0" w:color="auto"/>
              <w:right w:val="single" w:sz="4" w:space="0" w:color="auto"/>
            </w:tcBorders>
            <w:shd w:val="clear" w:color="auto" w:fill="auto"/>
            <w:noWrap/>
            <w:hideMark/>
          </w:tcPr>
          <w:p w14:paraId="3D087B2D"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5.58</w:t>
            </w:r>
          </w:p>
        </w:tc>
        <w:tc>
          <w:tcPr>
            <w:tcW w:w="627" w:type="dxa"/>
            <w:tcBorders>
              <w:top w:val="nil"/>
              <w:left w:val="nil"/>
              <w:bottom w:val="single" w:sz="4" w:space="0" w:color="auto"/>
              <w:right w:val="single" w:sz="4" w:space="0" w:color="auto"/>
            </w:tcBorders>
            <w:shd w:val="clear" w:color="auto" w:fill="auto"/>
            <w:noWrap/>
            <w:hideMark/>
          </w:tcPr>
          <w:p w14:paraId="096A388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5.33</w:t>
            </w:r>
          </w:p>
        </w:tc>
        <w:tc>
          <w:tcPr>
            <w:tcW w:w="627" w:type="dxa"/>
            <w:tcBorders>
              <w:top w:val="nil"/>
              <w:left w:val="nil"/>
              <w:bottom w:val="single" w:sz="4" w:space="0" w:color="auto"/>
              <w:right w:val="single" w:sz="4" w:space="0" w:color="auto"/>
            </w:tcBorders>
            <w:shd w:val="clear" w:color="auto" w:fill="auto"/>
            <w:noWrap/>
            <w:hideMark/>
          </w:tcPr>
          <w:p w14:paraId="4B06677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4.80</w:t>
            </w:r>
          </w:p>
        </w:tc>
        <w:tc>
          <w:tcPr>
            <w:tcW w:w="627" w:type="dxa"/>
            <w:tcBorders>
              <w:top w:val="nil"/>
              <w:left w:val="nil"/>
              <w:bottom w:val="single" w:sz="4" w:space="0" w:color="auto"/>
              <w:right w:val="single" w:sz="4" w:space="0" w:color="auto"/>
            </w:tcBorders>
            <w:shd w:val="clear" w:color="auto" w:fill="auto"/>
            <w:noWrap/>
            <w:hideMark/>
          </w:tcPr>
          <w:p w14:paraId="4FBBCEF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4.26</w:t>
            </w:r>
          </w:p>
        </w:tc>
        <w:tc>
          <w:tcPr>
            <w:tcW w:w="627" w:type="dxa"/>
            <w:tcBorders>
              <w:top w:val="nil"/>
              <w:left w:val="nil"/>
              <w:bottom w:val="single" w:sz="4" w:space="0" w:color="auto"/>
              <w:right w:val="single" w:sz="4" w:space="0" w:color="auto"/>
            </w:tcBorders>
            <w:shd w:val="clear" w:color="auto" w:fill="auto"/>
            <w:noWrap/>
            <w:hideMark/>
          </w:tcPr>
          <w:p w14:paraId="7300B7C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4.13</w:t>
            </w:r>
          </w:p>
        </w:tc>
        <w:tc>
          <w:tcPr>
            <w:tcW w:w="627" w:type="dxa"/>
            <w:tcBorders>
              <w:top w:val="nil"/>
              <w:left w:val="nil"/>
              <w:bottom w:val="single" w:sz="4" w:space="0" w:color="auto"/>
              <w:right w:val="single" w:sz="4" w:space="0" w:color="auto"/>
            </w:tcBorders>
            <w:shd w:val="clear" w:color="auto" w:fill="auto"/>
            <w:noWrap/>
            <w:hideMark/>
          </w:tcPr>
          <w:p w14:paraId="7D97D88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3.98</w:t>
            </w:r>
          </w:p>
        </w:tc>
        <w:tc>
          <w:tcPr>
            <w:tcW w:w="627" w:type="dxa"/>
            <w:tcBorders>
              <w:top w:val="nil"/>
              <w:left w:val="nil"/>
              <w:bottom w:val="single" w:sz="4" w:space="0" w:color="auto"/>
              <w:right w:val="single" w:sz="4" w:space="0" w:color="auto"/>
            </w:tcBorders>
            <w:shd w:val="clear" w:color="auto" w:fill="auto"/>
            <w:noWrap/>
            <w:hideMark/>
          </w:tcPr>
          <w:p w14:paraId="455BE2D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3.82</w:t>
            </w:r>
          </w:p>
        </w:tc>
        <w:tc>
          <w:tcPr>
            <w:tcW w:w="627" w:type="dxa"/>
            <w:tcBorders>
              <w:top w:val="nil"/>
              <w:left w:val="nil"/>
              <w:bottom w:val="single" w:sz="4" w:space="0" w:color="auto"/>
              <w:right w:val="single" w:sz="4" w:space="0" w:color="auto"/>
            </w:tcBorders>
            <w:shd w:val="clear" w:color="auto" w:fill="auto"/>
            <w:noWrap/>
            <w:hideMark/>
          </w:tcPr>
          <w:p w14:paraId="711ABD9A"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3.74</w:t>
            </w:r>
          </w:p>
        </w:tc>
      </w:tr>
      <w:tr w:rsidR="00BE240D" w:rsidRPr="001D5AE2" w14:paraId="570B54EC"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014D37B"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Debt as % of Revenue</w:t>
            </w:r>
          </w:p>
        </w:tc>
        <w:tc>
          <w:tcPr>
            <w:tcW w:w="963" w:type="dxa"/>
            <w:tcBorders>
              <w:top w:val="nil"/>
              <w:left w:val="nil"/>
              <w:bottom w:val="single" w:sz="4" w:space="0" w:color="auto"/>
              <w:right w:val="single" w:sz="4" w:space="0" w:color="auto"/>
            </w:tcBorders>
            <w:shd w:val="clear" w:color="auto" w:fill="auto"/>
            <w:noWrap/>
            <w:vAlign w:val="bottom"/>
            <w:hideMark/>
          </w:tcPr>
          <w:p w14:paraId="1A01F14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200</w:t>
            </w:r>
          </w:p>
        </w:tc>
        <w:tc>
          <w:tcPr>
            <w:tcW w:w="627" w:type="dxa"/>
            <w:tcBorders>
              <w:top w:val="nil"/>
              <w:left w:val="nil"/>
              <w:bottom w:val="single" w:sz="4" w:space="0" w:color="auto"/>
              <w:right w:val="single" w:sz="4" w:space="0" w:color="auto"/>
            </w:tcBorders>
            <w:shd w:val="clear" w:color="auto" w:fill="auto"/>
            <w:noWrap/>
          </w:tcPr>
          <w:p w14:paraId="5790D66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78.30</w:t>
            </w:r>
          </w:p>
        </w:tc>
        <w:tc>
          <w:tcPr>
            <w:tcW w:w="627" w:type="dxa"/>
            <w:tcBorders>
              <w:top w:val="nil"/>
              <w:left w:val="nil"/>
              <w:bottom w:val="single" w:sz="4" w:space="0" w:color="auto"/>
              <w:right w:val="single" w:sz="4" w:space="0" w:color="auto"/>
            </w:tcBorders>
            <w:shd w:val="clear" w:color="auto" w:fill="auto"/>
            <w:noWrap/>
          </w:tcPr>
          <w:p w14:paraId="6A7D0E9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82.33</w:t>
            </w:r>
          </w:p>
        </w:tc>
        <w:tc>
          <w:tcPr>
            <w:tcW w:w="627" w:type="dxa"/>
            <w:tcBorders>
              <w:top w:val="nil"/>
              <w:left w:val="nil"/>
              <w:bottom w:val="single" w:sz="4" w:space="0" w:color="auto"/>
              <w:right w:val="single" w:sz="4" w:space="0" w:color="auto"/>
            </w:tcBorders>
            <w:shd w:val="clear" w:color="auto" w:fill="auto"/>
            <w:noWrap/>
          </w:tcPr>
          <w:p w14:paraId="5AA4CDE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77.04</w:t>
            </w:r>
          </w:p>
        </w:tc>
        <w:tc>
          <w:tcPr>
            <w:tcW w:w="627" w:type="dxa"/>
            <w:tcBorders>
              <w:top w:val="nil"/>
              <w:left w:val="nil"/>
              <w:bottom w:val="single" w:sz="4" w:space="0" w:color="auto"/>
              <w:right w:val="single" w:sz="4" w:space="0" w:color="auto"/>
            </w:tcBorders>
            <w:shd w:val="clear" w:color="auto" w:fill="auto"/>
            <w:noWrap/>
          </w:tcPr>
          <w:p w14:paraId="7F7B1E94"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75.59</w:t>
            </w:r>
          </w:p>
        </w:tc>
        <w:tc>
          <w:tcPr>
            <w:tcW w:w="627" w:type="dxa"/>
            <w:tcBorders>
              <w:top w:val="nil"/>
              <w:left w:val="nil"/>
              <w:bottom w:val="single" w:sz="4" w:space="0" w:color="auto"/>
              <w:right w:val="single" w:sz="4" w:space="0" w:color="auto"/>
            </w:tcBorders>
            <w:shd w:val="clear" w:color="auto" w:fill="auto"/>
            <w:noWrap/>
          </w:tcPr>
          <w:p w14:paraId="31511EE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72.62</w:t>
            </w:r>
          </w:p>
        </w:tc>
        <w:tc>
          <w:tcPr>
            <w:tcW w:w="627" w:type="dxa"/>
            <w:tcBorders>
              <w:top w:val="nil"/>
              <w:left w:val="nil"/>
              <w:bottom w:val="single" w:sz="4" w:space="0" w:color="auto"/>
              <w:right w:val="single" w:sz="4" w:space="0" w:color="auto"/>
            </w:tcBorders>
            <w:shd w:val="clear" w:color="auto" w:fill="auto"/>
            <w:noWrap/>
          </w:tcPr>
          <w:p w14:paraId="101B8FF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67.88</w:t>
            </w:r>
          </w:p>
        </w:tc>
        <w:tc>
          <w:tcPr>
            <w:tcW w:w="627" w:type="dxa"/>
            <w:tcBorders>
              <w:top w:val="nil"/>
              <w:left w:val="nil"/>
              <w:bottom w:val="single" w:sz="4" w:space="0" w:color="auto"/>
              <w:right w:val="single" w:sz="4" w:space="0" w:color="auto"/>
            </w:tcBorders>
            <w:shd w:val="clear" w:color="auto" w:fill="auto"/>
            <w:noWrap/>
          </w:tcPr>
          <w:p w14:paraId="0C6E968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69.38</w:t>
            </w:r>
          </w:p>
        </w:tc>
        <w:tc>
          <w:tcPr>
            <w:tcW w:w="627" w:type="dxa"/>
            <w:tcBorders>
              <w:top w:val="nil"/>
              <w:left w:val="nil"/>
              <w:bottom w:val="single" w:sz="4" w:space="0" w:color="auto"/>
              <w:right w:val="single" w:sz="4" w:space="0" w:color="auto"/>
            </w:tcBorders>
            <w:shd w:val="clear" w:color="auto" w:fill="auto"/>
            <w:noWrap/>
          </w:tcPr>
          <w:p w14:paraId="099086F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70.87</w:t>
            </w:r>
          </w:p>
        </w:tc>
        <w:tc>
          <w:tcPr>
            <w:tcW w:w="627" w:type="dxa"/>
            <w:tcBorders>
              <w:top w:val="nil"/>
              <w:left w:val="nil"/>
              <w:bottom w:val="single" w:sz="4" w:space="0" w:color="auto"/>
              <w:right w:val="single" w:sz="4" w:space="0" w:color="auto"/>
            </w:tcBorders>
            <w:shd w:val="clear" w:color="auto" w:fill="auto"/>
            <w:noWrap/>
          </w:tcPr>
          <w:p w14:paraId="0895883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72.11</w:t>
            </w:r>
          </w:p>
        </w:tc>
        <w:tc>
          <w:tcPr>
            <w:tcW w:w="627" w:type="dxa"/>
            <w:tcBorders>
              <w:top w:val="nil"/>
              <w:left w:val="nil"/>
              <w:bottom w:val="single" w:sz="4" w:space="0" w:color="auto"/>
              <w:right w:val="single" w:sz="4" w:space="0" w:color="auto"/>
            </w:tcBorders>
            <w:shd w:val="clear" w:color="auto" w:fill="auto"/>
            <w:noWrap/>
          </w:tcPr>
          <w:p w14:paraId="6B98914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74.23</w:t>
            </w:r>
          </w:p>
        </w:tc>
      </w:tr>
      <w:tr w:rsidR="00BE240D" w:rsidRPr="001D5AE2" w14:paraId="4D56982E"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8C5B7AD"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Debt Service as % of Revenue</w:t>
            </w:r>
          </w:p>
        </w:tc>
        <w:tc>
          <w:tcPr>
            <w:tcW w:w="963" w:type="dxa"/>
            <w:tcBorders>
              <w:top w:val="nil"/>
              <w:left w:val="nil"/>
              <w:bottom w:val="single" w:sz="4" w:space="0" w:color="auto"/>
              <w:right w:val="single" w:sz="4" w:space="0" w:color="auto"/>
            </w:tcBorders>
            <w:shd w:val="clear" w:color="auto" w:fill="auto"/>
            <w:noWrap/>
            <w:vAlign w:val="bottom"/>
            <w:hideMark/>
          </w:tcPr>
          <w:p w14:paraId="04244EC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40</w:t>
            </w:r>
          </w:p>
        </w:tc>
        <w:tc>
          <w:tcPr>
            <w:tcW w:w="627" w:type="dxa"/>
            <w:tcBorders>
              <w:top w:val="nil"/>
              <w:left w:val="nil"/>
              <w:bottom w:val="single" w:sz="4" w:space="0" w:color="auto"/>
              <w:right w:val="single" w:sz="4" w:space="0" w:color="auto"/>
            </w:tcBorders>
            <w:shd w:val="clear" w:color="auto" w:fill="auto"/>
            <w:noWrap/>
          </w:tcPr>
          <w:p w14:paraId="7FEFD7F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5.14</w:t>
            </w:r>
          </w:p>
        </w:tc>
        <w:tc>
          <w:tcPr>
            <w:tcW w:w="627" w:type="dxa"/>
            <w:tcBorders>
              <w:top w:val="nil"/>
              <w:left w:val="nil"/>
              <w:bottom w:val="single" w:sz="4" w:space="0" w:color="auto"/>
              <w:right w:val="single" w:sz="4" w:space="0" w:color="auto"/>
            </w:tcBorders>
            <w:shd w:val="clear" w:color="auto" w:fill="auto"/>
            <w:noWrap/>
          </w:tcPr>
          <w:p w14:paraId="2F3D72E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6.87</w:t>
            </w:r>
          </w:p>
        </w:tc>
        <w:tc>
          <w:tcPr>
            <w:tcW w:w="627" w:type="dxa"/>
            <w:tcBorders>
              <w:top w:val="nil"/>
              <w:left w:val="nil"/>
              <w:bottom w:val="single" w:sz="4" w:space="0" w:color="auto"/>
              <w:right w:val="single" w:sz="4" w:space="0" w:color="auto"/>
            </w:tcBorders>
            <w:shd w:val="clear" w:color="auto" w:fill="auto"/>
            <w:noWrap/>
          </w:tcPr>
          <w:p w14:paraId="636ED78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10.02</w:t>
            </w:r>
          </w:p>
        </w:tc>
        <w:tc>
          <w:tcPr>
            <w:tcW w:w="627" w:type="dxa"/>
            <w:tcBorders>
              <w:top w:val="nil"/>
              <w:left w:val="nil"/>
              <w:bottom w:val="single" w:sz="4" w:space="0" w:color="auto"/>
              <w:right w:val="single" w:sz="4" w:space="0" w:color="auto"/>
            </w:tcBorders>
            <w:shd w:val="clear" w:color="auto" w:fill="auto"/>
            <w:noWrap/>
          </w:tcPr>
          <w:p w14:paraId="2E4EF8F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13.55</w:t>
            </w:r>
          </w:p>
        </w:tc>
        <w:tc>
          <w:tcPr>
            <w:tcW w:w="627" w:type="dxa"/>
            <w:tcBorders>
              <w:top w:val="nil"/>
              <w:left w:val="nil"/>
              <w:bottom w:val="single" w:sz="4" w:space="0" w:color="auto"/>
              <w:right w:val="single" w:sz="4" w:space="0" w:color="auto"/>
            </w:tcBorders>
            <w:shd w:val="clear" w:color="auto" w:fill="auto"/>
            <w:noWrap/>
          </w:tcPr>
          <w:p w14:paraId="26B1C19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14.44</w:t>
            </w:r>
          </w:p>
        </w:tc>
        <w:tc>
          <w:tcPr>
            <w:tcW w:w="627" w:type="dxa"/>
            <w:tcBorders>
              <w:top w:val="nil"/>
              <w:left w:val="nil"/>
              <w:bottom w:val="single" w:sz="4" w:space="0" w:color="auto"/>
              <w:right w:val="single" w:sz="4" w:space="0" w:color="auto"/>
            </w:tcBorders>
            <w:shd w:val="clear" w:color="auto" w:fill="auto"/>
            <w:noWrap/>
          </w:tcPr>
          <w:p w14:paraId="0C5BCD77"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13.61</w:t>
            </w:r>
          </w:p>
        </w:tc>
        <w:tc>
          <w:tcPr>
            <w:tcW w:w="627" w:type="dxa"/>
            <w:tcBorders>
              <w:top w:val="nil"/>
              <w:left w:val="nil"/>
              <w:bottom w:val="single" w:sz="4" w:space="0" w:color="auto"/>
              <w:right w:val="single" w:sz="4" w:space="0" w:color="auto"/>
            </w:tcBorders>
            <w:shd w:val="clear" w:color="auto" w:fill="auto"/>
            <w:noWrap/>
          </w:tcPr>
          <w:p w14:paraId="38E61663"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12.73</w:t>
            </w:r>
          </w:p>
        </w:tc>
        <w:tc>
          <w:tcPr>
            <w:tcW w:w="627" w:type="dxa"/>
            <w:tcBorders>
              <w:top w:val="nil"/>
              <w:left w:val="nil"/>
              <w:bottom w:val="single" w:sz="4" w:space="0" w:color="auto"/>
              <w:right w:val="single" w:sz="4" w:space="0" w:color="auto"/>
            </w:tcBorders>
            <w:shd w:val="clear" w:color="auto" w:fill="auto"/>
            <w:noWrap/>
          </w:tcPr>
          <w:p w14:paraId="6DF5AAB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11.90</w:t>
            </w:r>
          </w:p>
        </w:tc>
        <w:tc>
          <w:tcPr>
            <w:tcW w:w="627" w:type="dxa"/>
            <w:tcBorders>
              <w:top w:val="nil"/>
              <w:left w:val="nil"/>
              <w:bottom w:val="single" w:sz="4" w:space="0" w:color="auto"/>
              <w:right w:val="single" w:sz="4" w:space="0" w:color="auto"/>
            </w:tcBorders>
            <w:shd w:val="clear" w:color="auto" w:fill="auto"/>
            <w:noWrap/>
          </w:tcPr>
          <w:p w14:paraId="04A3AED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11.77</w:t>
            </w:r>
          </w:p>
        </w:tc>
        <w:tc>
          <w:tcPr>
            <w:tcW w:w="627" w:type="dxa"/>
            <w:tcBorders>
              <w:top w:val="nil"/>
              <w:left w:val="nil"/>
              <w:bottom w:val="single" w:sz="4" w:space="0" w:color="auto"/>
              <w:right w:val="single" w:sz="4" w:space="0" w:color="auto"/>
            </w:tcBorders>
            <w:shd w:val="clear" w:color="auto" w:fill="auto"/>
            <w:noWrap/>
          </w:tcPr>
          <w:p w14:paraId="1676242D"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12.71</w:t>
            </w:r>
          </w:p>
        </w:tc>
      </w:tr>
      <w:tr w:rsidR="00BE240D" w:rsidRPr="001D5AE2" w14:paraId="1FC15B3F"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E1901A5"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Personnel Cost as % of Revenue</w:t>
            </w:r>
          </w:p>
        </w:tc>
        <w:tc>
          <w:tcPr>
            <w:tcW w:w="963" w:type="dxa"/>
            <w:tcBorders>
              <w:top w:val="nil"/>
              <w:left w:val="nil"/>
              <w:bottom w:val="single" w:sz="4" w:space="0" w:color="auto"/>
              <w:right w:val="single" w:sz="4" w:space="0" w:color="auto"/>
            </w:tcBorders>
            <w:shd w:val="clear" w:color="auto" w:fill="auto"/>
            <w:noWrap/>
            <w:vAlign w:val="bottom"/>
            <w:hideMark/>
          </w:tcPr>
          <w:p w14:paraId="7060BDC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60</w:t>
            </w:r>
          </w:p>
        </w:tc>
        <w:tc>
          <w:tcPr>
            <w:tcW w:w="627" w:type="dxa"/>
            <w:tcBorders>
              <w:top w:val="nil"/>
              <w:left w:val="nil"/>
              <w:bottom w:val="single" w:sz="4" w:space="0" w:color="auto"/>
              <w:right w:val="single" w:sz="4" w:space="0" w:color="auto"/>
            </w:tcBorders>
            <w:shd w:val="clear" w:color="auto" w:fill="auto"/>
            <w:noWrap/>
          </w:tcPr>
          <w:p w14:paraId="4A5C726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22.12</w:t>
            </w:r>
          </w:p>
        </w:tc>
        <w:tc>
          <w:tcPr>
            <w:tcW w:w="627" w:type="dxa"/>
            <w:tcBorders>
              <w:top w:val="nil"/>
              <w:left w:val="nil"/>
              <w:bottom w:val="single" w:sz="4" w:space="0" w:color="auto"/>
              <w:right w:val="single" w:sz="4" w:space="0" w:color="auto"/>
            </w:tcBorders>
            <w:shd w:val="clear" w:color="auto" w:fill="auto"/>
            <w:noWrap/>
          </w:tcPr>
          <w:p w14:paraId="579D927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24.05</w:t>
            </w:r>
          </w:p>
        </w:tc>
        <w:tc>
          <w:tcPr>
            <w:tcW w:w="627" w:type="dxa"/>
            <w:tcBorders>
              <w:top w:val="nil"/>
              <w:left w:val="nil"/>
              <w:bottom w:val="single" w:sz="4" w:space="0" w:color="auto"/>
              <w:right w:val="single" w:sz="4" w:space="0" w:color="auto"/>
            </w:tcBorders>
            <w:shd w:val="clear" w:color="auto" w:fill="auto"/>
            <w:noWrap/>
          </w:tcPr>
          <w:p w14:paraId="5307B54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20.86</w:t>
            </w:r>
          </w:p>
        </w:tc>
        <w:tc>
          <w:tcPr>
            <w:tcW w:w="627" w:type="dxa"/>
            <w:tcBorders>
              <w:top w:val="nil"/>
              <w:left w:val="nil"/>
              <w:bottom w:val="single" w:sz="4" w:space="0" w:color="auto"/>
              <w:right w:val="single" w:sz="4" w:space="0" w:color="auto"/>
            </w:tcBorders>
            <w:shd w:val="clear" w:color="auto" w:fill="auto"/>
            <w:noWrap/>
          </w:tcPr>
          <w:p w14:paraId="69C2D99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20.28</w:t>
            </w:r>
          </w:p>
        </w:tc>
        <w:tc>
          <w:tcPr>
            <w:tcW w:w="627" w:type="dxa"/>
            <w:tcBorders>
              <w:top w:val="nil"/>
              <w:left w:val="nil"/>
              <w:bottom w:val="single" w:sz="4" w:space="0" w:color="auto"/>
              <w:right w:val="single" w:sz="4" w:space="0" w:color="auto"/>
            </w:tcBorders>
            <w:shd w:val="clear" w:color="auto" w:fill="auto"/>
            <w:noWrap/>
          </w:tcPr>
          <w:p w14:paraId="73221313"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21.14</w:t>
            </w:r>
          </w:p>
        </w:tc>
        <w:tc>
          <w:tcPr>
            <w:tcW w:w="627" w:type="dxa"/>
            <w:tcBorders>
              <w:top w:val="nil"/>
              <w:left w:val="nil"/>
              <w:bottom w:val="single" w:sz="4" w:space="0" w:color="auto"/>
              <w:right w:val="single" w:sz="4" w:space="0" w:color="auto"/>
            </w:tcBorders>
            <w:shd w:val="clear" w:color="auto" w:fill="auto"/>
            <w:noWrap/>
          </w:tcPr>
          <w:p w14:paraId="7D42B9F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18.57</w:t>
            </w:r>
          </w:p>
        </w:tc>
        <w:tc>
          <w:tcPr>
            <w:tcW w:w="627" w:type="dxa"/>
            <w:tcBorders>
              <w:top w:val="nil"/>
              <w:left w:val="nil"/>
              <w:bottom w:val="single" w:sz="4" w:space="0" w:color="auto"/>
              <w:right w:val="single" w:sz="4" w:space="0" w:color="auto"/>
            </w:tcBorders>
            <w:shd w:val="clear" w:color="auto" w:fill="auto"/>
            <w:noWrap/>
          </w:tcPr>
          <w:p w14:paraId="03E4E82A"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17.65</w:t>
            </w:r>
          </w:p>
        </w:tc>
        <w:tc>
          <w:tcPr>
            <w:tcW w:w="627" w:type="dxa"/>
            <w:tcBorders>
              <w:top w:val="nil"/>
              <w:left w:val="nil"/>
              <w:bottom w:val="single" w:sz="4" w:space="0" w:color="auto"/>
              <w:right w:val="single" w:sz="4" w:space="0" w:color="auto"/>
            </w:tcBorders>
            <w:shd w:val="clear" w:color="auto" w:fill="auto"/>
            <w:noWrap/>
          </w:tcPr>
          <w:p w14:paraId="7FAB45F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17.15</w:t>
            </w:r>
          </w:p>
        </w:tc>
        <w:tc>
          <w:tcPr>
            <w:tcW w:w="627" w:type="dxa"/>
            <w:tcBorders>
              <w:top w:val="nil"/>
              <w:left w:val="nil"/>
              <w:bottom w:val="single" w:sz="4" w:space="0" w:color="auto"/>
              <w:right w:val="single" w:sz="4" w:space="0" w:color="auto"/>
            </w:tcBorders>
            <w:shd w:val="clear" w:color="auto" w:fill="auto"/>
            <w:noWrap/>
          </w:tcPr>
          <w:p w14:paraId="68A8AD43"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17.32</w:t>
            </w:r>
          </w:p>
        </w:tc>
        <w:tc>
          <w:tcPr>
            <w:tcW w:w="627" w:type="dxa"/>
            <w:tcBorders>
              <w:top w:val="nil"/>
              <w:left w:val="nil"/>
              <w:bottom w:val="single" w:sz="4" w:space="0" w:color="auto"/>
              <w:right w:val="single" w:sz="4" w:space="0" w:color="auto"/>
            </w:tcBorders>
            <w:shd w:val="clear" w:color="auto" w:fill="auto"/>
            <w:noWrap/>
          </w:tcPr>
          <w:p w14:paraId="2A0BBF94"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17.48</w:t>
            </w:r>
          </w:p>
        </w:tc>
      </w:tr>
      <w:tr w:rsidR="00BE240D" w:rsidRPr="001D5AE2" w14:paraId="0E33B6D6"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7D6487E"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Debt Service as a share of Gross FAAC Allocation</w:t>
            </w:r>
          </w:p>
        </w:tc>
        <w:tc>
          <w:tcPr>
            <w:tcW w:w="963" w:type="dxa"/>
            <w:tcBorders>
              <w:top w:val="nil"/>
              <w:left w:val="nil"/>
              <w:bottom w:val="single" w:sz="4" w:space="0" w:color="auto"/>
              <w:right w:val="single" w:sz="4" w:space="0" w:color="auto"/>
            </w:tcBorders>
            <w:shd w:val="clear" w:color="auto" w:fill="auto"/>
            <w:noWrap/>
            <w:hideMark/>
          </w:tcPr>
          <w:p w14:paraId="52A7E3FC"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nil</w:t>
            </w:r>
          </w:p>
        </w:tc>
        <w:tc>
          <w:tcPr>
            <w:tcW w:w="627" w:type="dxa"/>
            <w:tcBorders>
              <w:top w:val="nil"/>
              <w:left w:val="nil"/>
              <w:bottom w:val="single" w:sz="4" w:space="0" w:color="auto"/>
              <w:right w:val="single" w:sz="4" w:space="0" w:color="auto"/>
            </w:tcBorders>
            <w:shd w:val="clear" w:color="auto" w:fill="auto"/>
            <w:noWrap/>
          </w:tcPr>
          <w:p w14:paraId="0DE22F1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6.46</w:t>
            </w:r>
          </w:p>
        </w:tc>
        <w:tc>
          <w:tcPr>
            <w:tcW w:w="627" w:type="dxa"/>
            <w:tcBorders>
              <w:top w:val="nil"/>
              <w:left w:val="nil"/>
              <w:bottom w:val="single" w:sz="4" w:space="0" w:color="auto"/>
              <w:right w:val="single" w:sz="4" w:space="0" w:color="auto"/>
            </w:tcBorders>
            <w:shd w:val="clear" w:color="auto" w:fill="auto"/>
            <w:noWrap/>
          </w:tcPr>
          <w:p w14:paraId="39343D9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8.95</w:t>
            </w:r>
          </w:p>
        </w:tc>
        <w:tc>
          <w:tcPr>
            <w:tcW w:w="627" w:type="dxa"/>
            <w:tcBorders>
              <w:top w:val="nil"/>
              <w:left w:val="nil"/>
              <w:bottom w:val="single" w:sz="4" w:space="0" w:color="auto"/>
              <w:right w:val="single" w:sz="4" w:space="0" w:color="auto"/>
            </w:tcBorders>
            <w:shd w:val="clear" w:color="auto" w:fill="auto"/>
            <w:noWrap/>
          </w:tcPr>
          <w:p w14:paraId="242BE6A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12.90</w:t>
            </w:r>
          </w:p>
        </w:tc>
        <w:tc>
          <w:tcPr>
            <w:tcW w:w="627" w:type="dxa"/>
            <w:tcBorders>
              <w:top w:val="nil"/>
              <w:left w:val="nil"/>
              <w:bottom w:val="single" w:sz="4" w:space="0" w:color="auto"/>
              <w:right w:val="single" w:sz="4" w:space="0" w:color="auto"/>
            </w:tcBorders>
            <w:shd w:val="clear" w:color="auto" w:fill="auto"/>
            <w:noWrap/>
          </w:tcPr>
          <w:p w14:paraId="433D81B8"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16.67</w:t>
            </w:r>
          </w:p>
        </w:tc>
        <w:tc>
          <w:tcPr>
            <w:tcW w:w="627" w:type="dxa"/>
            <w:tcBorders>
              <w:top w:val="nil"/>
              <w:left w:val="nil"/>
              <w:bottom w:val="single" w:sz="4" w:space="0" w:color="auto"/>
              <w:right w:val="single" w:sz="4" w:space="0" w:color="auto"/>
            </w:tcBorders>
            <w:shd w:val="clear" w:color="auto" w:fill="auto"/>
            <w:noWrap/>
          </w:tcPr>
          <w:p w14:paraId="29A647E3"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17.87</w:t>
            </w:r>
          </w:p>
        </w:tc>
        <w:tc>
          <w:tcPr>
            <w:tcW w:w="627" w:type="dxa"/>
            <w:tcBorders>
              <w:top w:val="nil"/>
              <w:left w:val="nil"/>
              <w:bottom w:val="single" w:sz="4" w:space="0" w:color="auto"/>
              <w:right w:val="single" w:sz="4" w:space="0" w:color="auto"/>
            </w:tcBorders>
            <w:shd w:val="clear" w:color="auto" w:fill="auto"/>
            <w:noWrap/>
          </w:tcPr>
          <w:p w14:paraId="6B20935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17.18</w:t>
            </w:r>
          </w:p>
        </w:tc>
        <w:tc>
          <w:tcPr>
            <w:tcW w:w="627" w:type="dxa"/>
            <w:tcBorders>
              <w:top w:val="nil"/>
              <w:left w:val="nil"/>
              <w:bottom w:val="single" w:sz="4" w:space="0" w:color="auto"/>
              <w:right w:val="single" w:sz="4" w:space="0" w:color="auto"/>
            </w:tcBorders>
            <w:shd w:val="clear" w:color="auto" w:fill="auto"/>
            <w:noWrap/>
          </w:tcPr>
          <w:p w14:paraId="5BC1ACE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16.36</w:t>
            </w:r>
          </w:p>
        </w:tc>
        <w:tc>
          <w:tcPr>
            <w:tcW w:w="627" w:type="dxa"/>
            <w:tcBorders>
              <w:top w:val="nil"/>
              <w:left w:val="nil"/>
              <w:bottom w:val="single" w:sz="4" w:space="0" w:color="auto"/>
              <w:right w:val="single" w:sz="4" w:space="0" w:color="auto"/>
            </w:tcBorders>
            <w:shd w:val="clear" w:color="auto" w:fill="auto"/>
            <w:noWrap/>
          </w:tcPr>
          <w:p w14:paraId="3012DF3A"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15.55</w:t>
            </w:r>
          </w:p>
        </w:tc>
        <w:tc>
          <w:tcPr>
            <w:tcW w:w="627" w:type="dxa"/>
            <w:tcBorders>
              <w:top w:val="nil"/>
              <w:left w:val="nil"/>
              <w:bottom w:val="single" w:sz="4" w:space="0" w:color="auto"/>
              <w:right w:val="single" w:sz="4" w:space="0" w:color="auto"/>
            </w:tcBorders>
            <w:shd w:val="clear" w:color="auto" w:fill="auto"/>
            <w:noWrap/>
          </w:tcPr>
          <w:p w14:paraId="5F0A8E9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15.62</w:t>
            </w:r>
          </w:p>
        </w:tc>
        <w:tc>
          <w:tcPr>
            <w:tcW w:w="627" w:type="dxa"/>
            <w:tcBorders>
              <w:top w:val="nil"/>
              <w:left w:val="nil"/>
              <w:bottom w:val="single" w:sz="4" w:space="0" w:color="auto"/>
              <w:right w:val="single" w:sz="4" w:space="0" w:color="auto"/>
            </w:tcBorders>
            <w:shd w:val="clear" w:color="auto" w:fill="auto"/>
            <w:noWrap/>
          </w:tcPr>
          <w:p w14:paraId="330CD427"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17.11</w:t>
            </w:r>
          </w:p>
        </w:tc>
      </w:tr>
      <w:tr w:rsidR="00BE240D" w:rsidRPr="001D5AE2" w14:paraId="74C55E4F"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0F9DAF9"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Interest as a share of Revenue</w:t>
            </w:r>
          </w:p>
        </w:tc>
        <w:tc>
          <w:tcPr>
            <w:tcW w:w="963" w:type="dxa"/>
            <w:tcBorders>
              <w:top w:val="nil"/>
              <w:left w:val="nil"/>
              <w:bottom w:val="single" w:sz="4" w:space="0" w:color="auto"/>
              <w:right w:val="single" w:sz="4" w:space="0" w:color="auto"/>
            </w:tcBorders>
            <w:shd w:val="clear" w:color="auto" w:fill="auto"/>
            <w:noWrap/>
            <w:hideMark/>
          </w:tcPr>
          <w:p w14:paraId="3C527B3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nil</w:t>
            </w:r>
          </w:p>
        </w:tc>
        <w:tc>
          <w:tcPr>
            <w:tcW w:w="627" w:type="dxa"/>
            <w:tcBorders>
              <w:top w:val="nil"/>
              <w:left w:val="nil"/>
              <w:bottom w:val="single" w:sz="4" w:space="0" w:color="auto"/>
              <w:right w:val="single" w:sz="4" w:space="0" w:color="auto"/>
            </w:tcBorders>
            <w:shd w:val="clear" w:color="auto" w:fill="auto"/>
            <w:noWrap/>
          </w:tcPr>
          <w:p w14:paraId="434ECBD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1.27</w:t>
            </w:r>
          </w:p>
        </w:tc>
        <w:tc>
          <w:tcPr>
            <w:tcW w:w="627" w:type="dxa"/>
            <w:tcBorders>
              <w:top w:val="nil"/>
              <w:left w:val="nil"/>
              <w:bottom w:val="single" w:sz="4" w:space="0" w:color="auto"/>
              <w:right w:val="single" w:sz="4" w:space="0" w:color="auto"/>
            </w:tcBorders>
            <w:shd w:val="clear" w:color="auto" w:fill="auto"/>
            <w:noWrap/>
          </w:tcPr>
          <w:p w14:paraId="40EFF564"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4.11</w:t>
            </w:r>
          </w:p>
        </w:tc>
        <w:tc>
          <w:tcPr>
            <w:tcW w:w="627" w:type="dxa"/>
            <w:tcBorders>
              <w:top w:val="nil"/>
              <w:left w:val="nil"/>
              <w:bottom w:val="single" w:sz="4" w:space="0" w:color="auto"/>
              <w:right w:val="single" w:sz="4" w:space="0" w:color="auto"/>
            </w:tcBorders>
            <w:shd w:val="clear" w:color="auto" w:fill="auto"/>
            <w:noWrap/>
          </w:tcPr>
          <w:p w14:paraId="50A5CCD4"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5.20</w:t>
            </w:r>
          </w:p>
        </w:tc>
        <w:tc>
          <w:tcPr>
            <w:tcW w:w="627" w:type="dxa"/>
            <w:tcBorders>
              <w:top w:val="nil"/>
              <w:left w:val="nil"/>
              <w:bottom w:val="single" w:sz="4" w:space="0" w:color="auto"/>
              <w:right w:val="single" w:sz="4" w:space="0" w:color="auto"/>
            </w:tcBorders>
            <w:shd w:val="clear" w:color="auto" w:fill="auto"/>
            <w:noWrap/>
          </w:tcPr>
          <w:p w14:paraId="03AFB02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6.87</w:t>
            </w:r>
          </w:p>
        </w:tc>
        <w:tc>
          <w:tcPr>
            <w:tcW w:w="627" w:type="dxa"/>
            <w:tcBorders>
              <w:top w:val="nil"/>
              <w:left w:val="nil"/>
              <w:bottom w:val="single" w:sz="4" w:space="0" w:color="auto"/>
              <w:right w:val="single" w:sz="4" w:space="0" w:color="auto"/>
            </w:tcBorders>
            <w:shd w:val="clear" w:color="auto" w:fill="auto"/>
            <w:noWrap/>
          </w:tcPr>
          <w:p w14:paraId="060527BA"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7.18</w:t>
            </w:r>
          </w:p>
        </w:tc>
        <w:tc>
          <w:tcPr>
            <w:tcW w:w="627" w:type="dxa"/>
            <w:tcBorders>
              <w:top w:val="nil"/>
              <w:left w:val="nil"/>
              <w:bottom w:val="single" w:sz="4" w:space="0" w:color="auto"/>
              <w:right w:val="single" w:sz="4" w:space="0" w:color="auto"/>
            </w:tcBorders>
            <w:shd w:val="clear" w:color="auto" w:fill="auto"/>
            <w:noWrap/>
          </w:tcPr>
          <w:p w14:paraId="0ED1CB7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6.05</w:t>
            </w:r>
          </w:p>
        </w:tc>
        <w:tc>
          <w:tcPr>
            <w:tcW w:w="627" w:type="dxa"/>
            <w:tcBorders>
              <w:top w:val="nil"/>
              <w:left w:val="nil"/>
              <w:bottom w:val="single" w:sz="4" w:space="0" w:color="auto"/>
              <w:right w:val="single" w:sz="4" w:space="0" w:color="auto"/>
            </w:tcBorders>
            <w:shd w:val="clear" w:color="auto" w:fill="auto"/>
            <w:noWrap/>
          </w:tcPr>
          <w:p w14:paraId="21772CE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5.42</w:t>
            </w:r>
          </w:p>
        </w:tc>
        <w:tc>
          <w:tcPr>
            <w:tcW w:w="627" w:type="dxa"/>
            <w:tcBorders>
              <w:top w:val="nil"/>
              <w:left w:val="nil"/>
              <w:bottom w:val="single" w:sz="4" w:space="0" w:color="auto"/>
              <w:right w:val="single" w:sz="4" w:space="0" w:color="auto"/>
            </w:tcBorders>
            <w:shd w:val="clear" w:color="auto" w:fill="auto"/>
            <w:noWrap/>
          </w:tcPr>
          <w:p w14:paraId="7401AAB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5.61</w:t>
            </w:r>
          </w:p>
        </w:tc>
        <w:tc>
          <w:tcPr>
            <w:tcW w:w="627" w:type="dxa"/>
            <w:tcBorders>
              <w:top w:val="nil"/>
              <w:left w:val="nil"/>
              <w:bottom w:val="single" w:sz="4" w:space="0" w:color="auto"/>
              <w:right w:val="single" w:sz="4" w:space="0" w:color="auto"/>
            </w:tcBorders>
            <w:shd w:val="clear" w:color="auto" w:fill="auto"/>
            <w:noWrap/>
          </w:tcPr>
          <w:p w14:paraId="7EFF662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5.68</w:t>
            </w:r>
          </w:p>
        </w:tc>
        <w:tc>
          <w:tcPr>
            <w:tcW w:w="627" w:type="dxa"/>
            <w:tcBorders>
              <w:top w:val="nil"/>
              <w:left w:val="nil"/>
              <w:bottom w:val="single" w:sz="4" w:space="0" w:color="auto"/>
              <w:right w:val="single" w:sz="4" w:space="0" w:color="auto"/>
            </w:tcBorders>
            <w:shd w:val="clear" w:color="auto" w:fill="auto"/>
            <w:noWrap/>
          </w:tcPr>
          <w:p w14:paraId="26FDE19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5.96</w:t>
            </w:r>
          </w:p>
        </w:tc>
      </w:tr>
      <w:tr w:rsidR="00BE240D" w:rsidRPr="001D5AE2" w14:paraId="4CFC79A2"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2BFFCD3"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External Debt Service as a share of Revenue</w:t>
            </w:r>
          </w:p>
        </w:tc>
        <w:tc>
          <w:tcPr>
            <w:tcW w:w="963" w:type="dxa"/>
            <w:tcBorders>
              <w:top w:val="nil"/>
              <w:left w:val="nil"/>
              <w:bottom w:val="single" w:sz="4" w:space="0" w:color="auto"/>
              <w:right w:val="single" w:sz="4" w:space="0" w:color="auto"/>
            </w:tcBorders>
            <w:shd w:val="clear" w:color="auto" w:fill="auto"/>
            <w:noWrap/>
            <w:hideMark/>
          </w:tcPr>
          <w:p w14:paraId="2A531BD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nil</w:t>
            </w:r>
          </w:p>
        </w:tc>
        <w:tc>
          <w:tcPr>
            <w:tcW w:w="627" w:type="dxa"/>
            <w:tcBorders>
              <w:top w:val="nil"/>
              <w:left w:val="nil"/>
              <w:bottom w:val="single" w:sz="4" w:space="0" w:color="auto"/>
              <w:right w:val="single" w:sz="4" w:space="0" w:color="auto"/>
            </w:tcBorders>
            <w:shd w:val="clear" w:color="auto" w:fill="auto"/>
            <w:noWrap/>
          </w:tcPr>
          <w:p w14:paraId="5160FF18"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1.22</w:t>
            </w:r>
          </w:p>
        </w:tc>
        <w:tc>
          <w:tcPr>
            <w:tcW w:w="627" w:type="dxa"/>
            <w:tcBorders>
              <w:top w:val="nil"/>
              <w:left w:val="nil"/>
              <w:bottom w:val="single" w:sz="4" w:space="0" w:color="auto"/>
              <w:right w:val="single" w:sz="4" w:space="0" w:color="auto"/>
            </w:tcBorders>
            <w:shd w:val="clear" w:color="auto" w:fill="auto"/>
            <w:noWrap/>
          </w:tcPr>
          <w:p w14:paraId="112727B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1.11</w:t>
            </w:r>
          </w:p>
        </w:tc>
        <w:tc>
          <w:tcPr>
            <w:tcW w:w="627" w:type="dxa"/>
            <w:tcBorders>
              <w:top w:val="nil"/>
              <w:left w:val="nil"/>
              <w:bottom w:val="single" w:sz="4" w:space="0" w:color="auto"/>
              <w:right w:val="single" w:sz="4" w:space="0" w:color="auto"/>
            </w:tcBorders>
            <w:shd w:val="clear" w:color="auto" w:fill="auto"/>
            <w:noWrap/>
          </w:tcPr>
          <w:p w14:paraId="262A8153"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0.84</w:t>
            </w:r>
          </w:p>
        </w:tc>
        <w:tc>
          <w:tcPr>
            <w:tcW w:w="627" w:type="dxa"/>
            <w:tcBorders>
              <w:top w:val="nil"/>
              <w:left w:val="nil"/>
              <w:bottom w:val="single" w:sz="4" w:space="0" w:color="auto"/>
              <w:right w:val="single" w:sz="4" w:space="0" w:color="auto"/>
            </w:tcBorders>
            <w:shd w:val="clear" w:color="auto" w:fill="auto"/>
            <w:noWrap/>
          </w:tcPr>
          <w:p w14:paraId="47B026B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0.79</w:t>
            </w:r>
          </w:p>
        </w:tc>
        <w:tc>
          <w:tcPr>
            <w:tcW w:w="627" w:type="dxa"/>
            <w:tcBorders>
              <w:top w:val="nil"/>
              <w:left w:val="nil"/>
              <w:bottom w:val="single" w:sz="4" w:space="0" w:color="auto"/>
              <w:right w:val="single" w:sz="4" w:space="0" w:color="auto"/>
            </w:tcBorders>
            <w:shd w:val="clear" w:color="auto" w:fill="auto"/>
            <w:noWrap/>
          </w:tcPr>
          <w:p w14:paraId="4BC9307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0.89</w:t>
            </w:r>
          </w:p>
        </w:tc>
        <w:tc>
          <w:tcPr>
            <w:tcW w:w="627" w:type="dxa"/>
            <w:tcBorders>
              <w:top w:val="nil"/>
              <w:left w:val="nil"/>
              <w:bottom w:val="single" w:sz="4" w:space="0" w:color="auto"/>
              <w:right w:val="single" w:sz="4" w:space="0" w:color="auto"/>
            </w:tcBorders>
            <w:shd w:val="clear" w:color="auto" w:fill="auto"/>
            <w:noWrap/>
          </w:tcPr>
          <w:p w14:paraId="005508B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0.83</w:t>
            </w:r>
          </w:p>
        </w:tc>
        <w:tc>
          <w:tcPr>
            <w:tcW w:w="627" w:type="dxa"/>
            <w:tcBorders>
              <w:top w:val="nil"/>
              <w:left w:val="nil"/>
              <w:bottom w:val="single" w:sz="4" w:space="0" w:color="auto"/>
              <w:right w:val="single" w:sz="4" w:space="0" w:color="auto"/>
            </w:tcBorders>
            <w:shd w:val="clear" w:color="auto" w:fill="auto"/>
            <w:noWrap/>
          </w:tcPr>
          <w:p w14:paraId="593D2DC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0.86</w:t>
            </w:r>
          </w:p>
        </w:tc>
        <w:tc>
          <w:tcPr>
            <w:tcW w:w="627" w:type="dxa"/>
            <w:tcBorders>
              <w:top w:val="nil"/>
              <w:left w:val="nil"/>
              <w:bottom w:val="single" w:sz="4" w:space="0" w:color="auto"/>
              <w:right w:val="single" w:sz="4" w:space="0" w:color="auto"/>
            </w:tcBorders>
            <w:shd w:val="clear" w:color="auto" w:fill="auto"/>
            <w:noWrap/>
          </w:tcPr>
          <w:p w14:paraId="1B10F898"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0.81</w:t>
            </w:r>
          </w:p>
        </w:tc>
        <w:tc>
          <w:tcPr>
            <w:tcW w:w="627" w:type="dxa"/>
            <w:tcBorders>
              <w:top w:val="nil"/>
              <w:left w:val="nil"/>
              <w:bottom w:val="single" w:sz="4" w:space="0" w:color="auto"/>
              <w:right w:val="single" w:sz="4" w:space="0" w:color="auto"/>
            </w:tcBorders>
            <w:shd w:val="clear" w:color="auto" w:fill="auto"/>
            <w:noWrap/>
          </w:tcPr>
          <w:p w14:paraId="751D98E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0.89</w:t>
            </w:r>
          </w:p>
        </w:tc>
        <w:tc>
          <w:tcPr>
            <w:tcW w:w="627" w:type="dxa"/>
            <w:tcBorders>
              <w:top w:val="nil"/>
              <w:left w:val="nil"/>
              <w:bottom w:val="single" w:sz="4" w:space="0" w:color="auto"/>
              <w:right w:val="single" w:sz="4" w:space="0" w:color="auto"/>
            </w:tcBorders>
            <w:shd w:val="clear" w:color="auto" w:fill="auto"/>
            <w:noWrap/>
          </w:tcPr>
          <w:p w14:paraId="0B801D9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0.84</w:t>
            </w:r>
          </w:p>
        </w:tc>
      </w:tr>
      <w:tr w:rsidR="00BE240D" w:rsidRPr="001D5AE2" w14:paraId="24B1A39D"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CD309C8"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Gross Financing Needs as a share of SGDP</w:t>
            </w:r>
          </w:p>
        </w:tc>
        <w:tc>
          <w:tcPr>
            <w:tcW w:w="963" w:type="dxa"/>
            <w:tcBorders>
              <w:top w:val="nil"/>
              <w:left w:val="nil"/>
              <w:bottom w:val="single" w:sz="4" w:space="0" w:color="auto"/>
              <w:right w:val="single" w:sz="4" w:space="0" w:color="auto"/>
            </w:tcBorders>
            <w:shd w:val="clear" w:color="auto" w:fill="auto"/>
            <w:noWrap/>
            <w:hideMark/>
          </w:tcPr>
          <w:p w14:paraId="172AED8A"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nil</w:t>
            </w:r>
          </w:p>
        </w:tc>
        <w:tc>
          <w:tcPr>
            <w:tcW w:w="627" w:type="dxa"/>
            <w:tcBorders>
              <w:top w:val="nil"/>
              <w:left w:val="nil"/>
              <w:bottom w:val="single" w:sz="4" w:space="0" w:color="auto"/>
              <w:right w:val="single" w:sz="4" w:space="0" w:color="auto"/>
            </w:tcBorders>
            <w:shd w:val="clear" w:color="auto" w:fill="auto"/>
            <w:noWrap/>
          </w:tcPr>
          <w:p w14:paraId="64E77D3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1.92</w:t>
            </w:r>
          </w:p>
        </w:tc>
        <w:tc>
          <w:tcPr>
            <w:tcW w:w="627" w:type="dxa"/>
            <w:tcBorders>
              <w:top w:val="nil"/>
              <w:left w:val="nil"/>
              <w:bottom w:val="single" w:sz="4" w:space="0" w:color="auto"/>
              <w:right w:val="single" w:sz="4" w:space="0" w:color="auto"/>
            </w:tcBorders>
            <w:shd w:val="clear" w:color="auto" w:fill="auto"/>
            <w:noWrap/>
          </w:tcPr>
          <w:p w14:paraId="1FBC1FD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0.95</w:t>
            </w:r>
          </w:p>
        </w:tc>
        <w:tc>
          <w:tcPr>
            <w:tcW w:w="627" w:type="dxa"/>
            <w:tcBorders>
              <w:top w:val="nil"/>
              <w:left w:val="nil"/>
              <w:bottom w:val="single" w:sz="4" w:space="0" w:color="auto"/>
              <w:right w:val="single" w:sz="4" w:space="0" w:color="auto"/>
            </w:tcBorders>
            <w:shd w:val="clear" w:color="auto" w:fill="auto"/>
            <w:noWrap/>
          </w:tcPr>
          <w:p w14:paraId="0F1D778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1.05</w:t>
            </w:r>
          </w:p>
        </w:tc>
        <w:tc>
          <w:tcPr>
            <w:tcW w:w="627" w:type="dxa"/>
            <w:tcBorders>
              <w:top w:val="nil"/>
              <w:left w:val="nil"/>
              <w:bottom w:val="single" w:sz="4" w:space="0" w:color="auto"/>
              <w:right w:val="single" w:sz="4" w:space="0" w:color="auto"/>
            </w:tcBorders>
            <w:shd w:val="clear" w:color="auto" w:fill="auto"/>
            <w:noWrap/>
          </w:tcPr>
          <w:p w14:paraId="787F77B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1.34</w:t>
            </w:r>
          </w:p>
        </w:tc>
        <w:tc>
          <w:tcPr>
            <w:tcW w:w="627" w:type="dxa"/>
            <w:tcBorders>
              <w:top w:val="nil"/>
              <w:left w:val="nil"/>
              <w:bottom w:val="single" w:sz="4" w:space="0" w:color="auto"/>
              <w:right w:val="single" w:sz="4" w:space="0" w:color="auto"/>
            </w:tcBorders>
            <w:shd w:val="clear" w:color="auto" w:fill="auto"/>
            <w:noWrap/>
          </w:tcPr>
          <w:p w14:paraId="4D219DF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0.97</w:t>
            </w:r>
          </w:p>
        </w:tc>
        <w:tc>
          <w:tcPr>
            <w:tcW w:w="627" w:type="dxa"/>
            <w:tcBorders>
              <w:top w:val="nil"/>
              <w:left w:val="nil"/>
              <w:bottom w:val="single" w:sz="4" w:space="0" w:color="auto"/>
              <w:right w:val="single" w:sz="4" w:space="0" w:color="auto"/>
            </w:tcBorders>
            <w:shd w:val="clear" w:color="auto" w:fill="auto"/>
            <w:noWrap/>
          </w:tcPr>
          <w:p w14:paraId="1DB62D4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0.94</w:t>
            </w:r>
          </w:p>
        </w:tc>
        <w:tc>
          <w:tcPr>
            <w:tcW w:w="627" w:type="dxa"/>
            <w:tcBorders>
              <w:top w:val="nil"/>
              <w:left w:val="nil"/>
              <w:bottom w:val="single" w:sz="4" w:space="0" w:color="auto"/>
              <w:right w:val="single" w:sz="4" w:space="0" w:color="auto"/>
            </w:tcBorders>
            <w:shd w:val="clear" w:color="auto" w:fill="auto"/>
            <w:noWrap/>
          </w:tcPr>
          <w:p w14:paraId="70F4C6A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1.22</w:t>
            </w:r>
          </w:p>
        </w:tc>
        <w:tc>
          <w:tcPr>
            <w:tcW w:w="627" w:type="dxa"/>
            <w:tcBorders>
              <w:top w:val="nil"/>
              <w:left w:val="nil"/>
              <w:bottom w:val="single" w:sz="4" w:space="0" w:color="auto"/>
              <w:right w:val="single" w:sz="4" w:space="0" w:color="auto"/>
            </w:tcBorders>
            <w:shd w:val="clear" w:color="auto" w:fill="auto"/>
            <w:noWrap/>
          </w:tcPr>
          <w:p w14:paraId="7974D84A"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1.05</w:t>
            </w:r>
          </w:p>
        </w:tc>
        <w:tc>
          <w:tcPr>
            <w:tcW w:w="627" w:type="dxa"/>
            <w:tcBorders>
              <w:top w:val="nil"/>
              <w:left w:val="nil"/>
              <w:bottom w:val="single" w:sz="4" w:space="0" w:color="auto"/>
              <w:right w:val="single" w:sz="4" w:space="0" w:color="auto"/>
            </w:tcBorders>
            <w:shd w:val="clear" w:color="auto" w:fill="auto"/>
            <w:noWrap/>
          </w:tcPr>
          <w:p w14:paraId="129A8BF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1.00</w:t>
            </w:r>
          </w:p>
        </w:tc>
        <w:tc>
          <w:tcPr>
            <w:tcW w:w="627" w:type="dxa"/>
            <w:tcBorders>
              <w:top w:val="nil"/>
              <w:left w:val="nil"/>
              <w:bottom w:val="single" w:sz="4" w:space="0" w:color="auto"/>
              <w:right w:val="single" w:sz="4" w:space="0" w:color="auto"/>
            </w:tcBorders>
            <w:shd w:val="clear" w:color="auto" w:fill="auto"/>
            <w:noWrap/>
          </w:tcPr>
          <w:p w14:paraId="4DF7562C"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1.06</w:t>
            </w:r>
          </w:p>
        </w:tc>
      </w:tr>
      <w:tr w:rsidR="00BE240D" w:rsidRPr="001D5AE2" w14:paraId="1327E7CC"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DDE7867"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Overall Balance as a share of SGDP</w:t>
            </w:r>
          </w:p>
        </w:tc>
        <w:tc>
          <w:tcPr>
            <w:tcW w:w="963" w:type="dxa"/>
            <w:tcBorders>
              <w:top w:val="nil"/>
              <w:left w:val="nil"/>
              <w:bottom w:val="single" w:sz="4" w:space="0" w:color="auto"/>
              <w:right w:val="single" w:sz="4" w:space="0" w:color="auto"/>
            </w:tcBorders>
            <w:shd w:val="clear" w:color="auto" w:fill="auto"/>
            <w:noWrap/>
            <w:hideMark/>
          </w:tcPr>
          <w:p w14:paraId="6ABDF45D"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nil</w:t>
            </w:r>
          </w:p>
        </w:tc>
        <w:tc>
          <w:tcPr>
            <w:tcW w:w="627" w:type="dxa"/>
            <w:tcBorders>
              <w:top w:val="nil"/>
              <w:left w:val="nil"/>
              <w:bottom w:val="single" w:sz="4" w:space="0" w:color="auto"/>
              <w:right w:val="single" w:sz="4" w:space="0" w:color="auto"/>
            </w:tcBorders>
            <w:shd w:val="clear" w:color="auto" w:fill="auto"/>
            <w:noWrap/>
          </w:tcPr>
          <w:p w14:paraId="145471AC"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-2.43</w:t>
            </w:r>
          </w:p>
        </w:tc>
        <w:tc>
          <w:tcPr>
            <w:tcW w:w="627" w:type="dxa"/>
            <w:tcBorders>
              <w:top w:val="nil"/>
              <w:left w:val="nil"/>
              <w:bottom w:val="single" w:sz="4" w:space="0" w:color="auto"/>
              <w:right w:val="single" w:sz="4" w:space="0" w:color="auto"/>
            </w:tcBorders>
            <w:shd w:val="clear" w:color="auto" w:fill="auto"/>
            <w:noWrap/>
          </w:tcPr>
          <w:p w14:paraId="06999DD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-1.08</w:t>
            </w:r>
          </w:p>
        </w:tc>
        <w:tc>
          <w:tcPr>
            <w:tcW w:w="627" w:type="dxa"/>
            <w:tcBorders>
              <w:top w:val="nil"/>
              <w:left w:val="nil"/>
              <w:bottom w:val="single" w:sz="4" w:space="0" w:color="auto"/>
              <w:right w:val="single" w:sz="4" w:space="0" w:color="auto"/>
            </w:tcBorders>
            <w:shd w:val="clear" w:color="auto" w:fill="auto"/>
            <w:noWrap/>
          </w:tcPr>
          <w:p w14:paraId="4E481598"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-0.99</w:t>
            </w:r>
          </w:p>
        </w:tc>
        <w:tc>
          <w:tcPr>
            <w:tcW w:w="627" w:type="dxa"/>
            <w:tcBorders>
              <w:top w:val="nil"/>
              <w:left w:val="nil"/>
              <w:bottom w:val="single" w:sz="4" w:space="0" w:color="auto"/>
              <w:right w:val="single" w:sz="4" w:space="0" w:color="auto"/>
            </w:tcBorders>
            <w:shd w:val="clear" w:color="auto" w:fill="auto"/>
            <w:noWrap/>
          </w:tcPr>
          <w:p w14:paraId="3E714AAD"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-1.09</w:t>
            </w:r>
          </w:p>
        </w:tc>
        <w:tc>
          <w:tcPr>
            <w:tcW w:w="627" w:type="dxa"/>
            <w:tcBorders>
              <w:top w:val="nil"/>
              <w:left w:val="nil"/>
              <w:bottom w:val="single" w:sz="4" w:space="0" w:color="auto"/>
              <w:right w:val="single" w:sz="4" w:space="0" w:color="auto"/>
            </w:tcBorders>
            <w:shd w:val="clear" w:color="auto" w:fill="auto"/>
            <w:noWrap/>
          </w:tcPr>
          <w:p w14:paraId="1B4A9C4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-1.19</w:t>
            </w:r>
          </w:p>
        </w:tc>
        <w:tc>
          <w:tcPr>
            <w:tcW w:w="627" w:type="dxa"/>
            <w:tcBorders>
              <w:top w:val="nil"/>
              <w:left w:val="nil"/>
              <w:bottom w:val="single" w:sz="4" w:space="0" w:color="auto"/>
              <w:right w:val="single" w:sz="4" w:space="0" w:color="auto"/>
            </w:tcBorders>
            <w:shd w:val="clear" w:color="auto" w:fill="auto"/>
            <w:noWrap/>
          </w:tcPr>
          <w:p w14:paraId="18590F1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-0.90</w:t>
            </w:r>
          </w:p>
        </w:tc>
        <w:tc>
          <w:tcPr>
            <w:tcW w:w="627" w:type="dxa"/>
            <w:tcBorders>
              <w:top w:val="nil"/>
              <w:left w:val="nil"/>
              <w:bottom w:val="single" w:sz="4" w:space="0" w:color="auto"/>
              <w:right w:val="single" w:sz="4" w:space="0" w:color="auto"/>
            </w:tcBorders>
            <w:shd w:val="clear" w:color="auto" w:fill="auto"/>
            <w:noWrap/>
          </w:tcPr>
          <w:p w14:paraId="2BA4453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-1.22</w:t>
            </w:r>
          </w:p>
        </w:tc>
        <w:tc>
          <w:tcPr>
            <w:tcW w:w="627" w:type="dxa"/>
            <w:tcBorders>
              <w:top w:val="nil"/>
              <w:left w:val="nil"/>
              <w:bottom w:val="single" w:sz="4" w:space="0" w:color="auto"/>
              <w:right w:val="single" w:sz="4" w:space="0" w:color="auto"/>
            </w:tcBorders>
            <w:shd w:val="clear" w:color="auto" w:fill="auto"/>
            <w:noWrap/>
          </w:tcPr>
          <w:p w14:paraId="5800056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-0.96</w:t>
            </w:r>
          </w:p>
        </w:tc>
        <w:tc>
          <w:tcPr>
            <w:tcW w:w="627" w:type="dxa"/>
            <w:tcBorders>
              <w:top w:val="nil"/>
              <w:left w:val="nil"/>
              <w:bottom w:val="single" w:sz="4" w:space="0" w:color="auto"/>
              <w:right w:val="single" w:sz="4" w:space="0" w:color="auto"/>
            </w:tcBorders>
            <w:shd w:val="clear" w:color="auto" w:fill="auto"/>
            <w:noWrap/>
          </w:tcPr>
          <w:p w14:paraId="13DB2F23"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-1.04</w:t>
            </w:r>
          </w:p>
        </w:tc>
        <w:tc>
          <w:tcPr>
            <w:tcW w:w="627" w:type="dxa"/>
            <w:tcBorders>
              <w:top w:val="nil"/>
              <w:left w:val="nil"/>
              <w:bottom w:val="single" w:sz="4" w:space="0" w:color="auto"/>
              <w:right w:val="single" w:sz="4" w:space="0" w:color="auto"/>
            </w:tcBorders>
            <w:shd w:val="clear" w:color="auto" w:fill="auto"/>
            <w:noWrap/>
          </w:tcPr>
          <w:p w14:paraId="5AABFD79"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-1.16</w:t>
            </w:r>
          </w:p>
        </w:tc>
      </w:tr>
      <w:tr w:rsidR="00BE240D" w:rsidRPr="001D5AE2" w14:paraId="2982F93E"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7CF4329B"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Primary Balance as a share of SGDP</w:t>
            </w:r>
          </w:p>
        </w:tc>
        <w:tc>
          <w:tcPr>
            <w:tcW w:w="963" w:type="dxa"/>
            <w:tcBorders>
              <w:top w:val="nil"/>
              <w:left w:val="nil"/>
              <w:bottom w:val="single" w:sz="4" w:space="0" w:color="auto"/>
              <w:right w:val="single" w:sz="4" w:space="0" w:color="auto"/>
            </w:tcBorders>
            <w:shd w:val="clear" w:color="auto" w:fill="auto"/>
            <w:noWrap/>
            <w:hideMark/>
          </w:tcPr>
          <w:p w14:paraId="3F4658AC"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nil</w:t>
            </w:r>
          </w:p>
        </w:tc>
        <w:tc>
          <w:tcPr>
            <w:tcW w:w="627" w:type="dxa"/>
            <w:tcBorders>
              <w:top w:val="nil"/>
              <w:left w:val="nil"/>
              <w:bottom w:val="single" w:sz="4" w:space="0" w:color="auto"/>
              <w:right w:val="single" w:sz="4" w:space="0" w:color="auto"/>
            </w:tcBorders>
            <w:shd w:val="clear" w:color="auto" w:fill="auto"/>
            <w:noWrap/>
          </w:tcPr>
          <w:p w14:paraId="08C49BC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-2.34</w:t>
            </w:r>
          </w:p>
        </w:tc>
        <w:tc>
          <w:tcPr>
            <w:tcW w:w="627" w:type="dxa"/>
            <w:tcBorders>
              <w:top w:val="nil"/>
              <w:left w:val="nil"/>
              <w:bottom w:val="single" w:sz="4" w:space="0" w:color="auto"/>
              <w:right w:val="single" w:sz="4" w:space="0" w:color="auto"/>
            </w:tcBorders>
            <w:shd w:val="clear" w:color="auto" w:fill="auto"/>
            <w:noWrap/>
          </w:tcPr>
          <w:p w14:paraId="7998B3D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-0.80</w:t>
            </w:r>
          </w:p>
        </w:tc>
        <w:tc>
          <w:tcPr>
            <w:tcW w:w="627" w:type="dxa"/>
            <w:tcBorders>
              <w:top w:val="nil"/>
              <w:left w:val="nil"/>
              <w:bottom w:val="single" w:sz="4" w:space="0" w:color="auto"/>
              <w:right w:val="single" w:sz="4" w:space="0" w:color="auto"/>
            </w:tcBorders>
            <w:shd w:val="clear" w:color="auto" w:fill="auto"/>
            <w:noWrap/>
          </w:tcPr>
          <w:p w14:paraId="7239740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-0.61</w:t>
            </w:r>
          </w:p>
        </w:tc>
        <w:tc>
          <w:tcPr>
            <w:tcW w:w="627" w:type="dxa"/>
            <w:tcBorders>
              <w:top w:val="nil"/>
              <w:left w:val="nil"/>
              <w:bottom w:val="single" w:sz="4" w:space="0" w:color="auto"/>
              <w:right w:val="single" w:sz="4" w:space="0" w:color="auto"/>
            </w:tcBorders>
            <w:shd w:val="clear" w:color="auto" w:fill="auto"/>
            <w:noWrap/>
          </w:tcPr>
          <w:p w14:paraId="212476A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-0.60</w:t>
            </w:r>
          </w:p>
        </w:tc>
        <w:tc>
          <w:tcPr>
            <w:tcW w:w="627" w:type="dxa"/>
            <w:tcBorders>
              <w:top w:val="nil"/>
              <w:left w:val="nil"/>
              <w:bottom w:val="single" w:sz="4" w:space="0" w:color="auto"/>
              <w:right w:val="single" w:sz="4" w:space="0" w:color="auto"/>
            </w:tcBorders>
            <w:shd w:val="clear" w:color="auto" w:fill="auto"/>
            <w:noWrap/>
          </w:tcPr>
          <w:p w14:paraId="0EE7A26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-0.72</w:t>
            </w:r>
          </w:p>
        </w:tc>
        <w:tc>
          <w:tcPr>
            <w:tcW w:w="627" w:type="dxa"/>
            <w:tcBorders>
              <w:top w:val="nil"/>
              <w:left w:val="nil"/>
              <w:bottom w:val="single" w:sz="4" w:space="0" w:color="auto"/>
              <w:right w:val="single" w:sz="4" w:space="0" w:color="auto"/>
            </w:tcBorders>
            <w:shd w:val="clear" w:color="auto" w:fill="auto"/>
            <w:noWrap/>
          </w:tcPr>
          <w:p w14:paraId="674D3D4D"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-0.52</w:t>
            </w:r>
          </w:p>
        </w:tc>
        <w:tc>
          <w:tcPr>
            <w:tcW w:w="627" w:type="dxa"/>
            <w:tcBorders>
              <w:top w:val="nil"/>
              <w:left w:val="nil"/>
              <w:bottom w:val="single" w:sz="4" w:space="0" w:color="auto"/>
              <w:right w:val="single" w:sz="4" w:space="0" w:color="auto"/>
            </w:tcBorders>
            <w:shd w:val="clear" w:color="auto" w:fill="auto"/>
            <w:noWrap/>
          </w:tcPr>
          <w:p w14:paraId="1935998D"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-0.89</w:t>
            </w:r>
          </w:p>
        </w:tc>
        <w:tc>
          <w:tcPr>
            <w:tcW w:w="627" w:type="dxa"/>
            <w:tcBorders>
              <w:top w:val="nil"/>
              <w:left w:val="nil"/>
              <w:bottom w:val="single" w:sz="4" w:space="0" w:color="auto"/>
              <w:right w:val="single" w:sz="4" w:space="0" w:color="auto"/>
            </w:tcBorders>
            <w:shd w:val="clear" w:color="auto" w:fill="auto"/>
            <w:noWrap/>
          </w:tcPr>
          <w:p w14:paraId="3850834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-0.65</w:t>
            </w:r>
          </w:p>
        </w:tc>
        <w:tc>
          <w:tcPr>
            <w:tcW w:w="627" w:type="dxa"/>
            <w:tcBorders>
              <w:top w:val="nil"/>
              <w:left w:val="nil"/>
              <w:bottom w:val="single" w:sz="4" w:space="0" w:color="auto"/>
              <w:right w:val="single" w:sz="4" w:space="0" w:color="auto"/>
            </w:tcBorders>
            <w:shd w:val="clear" w:color="auto" w:fill="auto"/>
            <w:noWrap/>
          </w:tcPr>
          <w:p w14:paraId="03C7FD9A"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-0.74</w:t>
            </w:r>
          </w:p>
        </w:tc>
        <w:tc>
          <w:tcPr>
            <w:tcW w:w="627" w:type="dxa"/>
            <w:tcBorders>
              <w:top w:val="nil"/>
              <w:left w:val="nil"/>
              <w:bottom w:val="single" w:sz="4" w:space="0" w:color="auto"/>
              <w:right w:val="single" w:sz="4" w:space="0" w:color="auto"/>
            </w:tcBorders>
            <w:shd w:val="clear" w:color="auto" w:fill="auto"/>
            <w:noWrap/>
          </w:tcPr>
          <w:p w14:paraId="2A58BE2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-0.86</w:t>
            </w:r>
          </w:p>
        </w:tc>
      </w:tr>
      <w:tr w:rsidR="00BE240D" w:rsidRPr="001D5AE2" w14:paraId="09E6461A"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0A07FAA"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Revenue as a share of SGDP</w:t>
            </w:r>
          </w:p>
        </w:tc>
        <w:tc>
          <w:tcPr>
            <w:tcW w:w="963" w:type="dxa"/>
            <w:tcBorders>
              <w:top w:val="nil"/>
              <w:left w:val="nil"/>
              <w:bottom w:val="single" w:sz="4" w:space="0" w:color="auto"/>
              <w:right w:val="single" w:sz="4" w:space="0" w:color="auto"/>
            </w:tcBorders>
            <w:shd w:val="clear" w:color="auto" w:fill="auto"/>
            <w:noWrap/>
            <w:hideMark/>
          </w:tcPr>
          <w:p w14:paraId="484E62D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nil</w:t>
            </w:r>
          </w:p>
        </w:tc>
        <w:tc>
          <w:tcPr>
            <w:tcW w:w="627" w:type="dxa"/>
            <w:tcBorders>
              <w:top w:val="nil"/>
              <w:left w:val="nil"/>
              <w:bottom w:val="single" w:sz="4" w:space="0" w:color="auto"/>
              <w:right w:val="single" w:sz="4" w:space="0" w:color="auto"/>
            </w:tcBorders>
            <w:shd w:val="clear" w:color="auto" w:fill="auto"/>
            <w:noWrap/>
          </w:tcPr>
          <w:p w14:paraId="0231BF66"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7.08</w:t>
            </w:r>
          </w:p>
        </w:tc>
        <w:tc>
          <w:tcPr>
            <w:tcW w:w="627" w:type="dxa"/>
            <w:tcBorders>
              <w:top w:val="nil"/>
              <w:left w:val="nil"/>
              <w:bottom w:val="single" w:sz="4" w:space="0" w:color="auto"/>
              <w:right w:val="single" w:sz="4" w:space="0" w:color="auto"/>
            </w:tcBorders>
            <w:shd w:val="clear" w:color="auto" w:fill="auto"/>
            <w:noWrap/>
          </w:tcPr>
          <w:p w14:paraId="49886CD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6.79</w:t>
            </w:r>
          </w:p>
        </w:tc>
        <w:tc>
          <w:tcPr>
            <w:tcW w:w="627" w:type="dxa"/>
            <w:tcBorders>
              <w:top w:val="nil"/>
              <w:left w:val="nil"/>
              <w:bottom w:val="single" w:sz="4" w:space="0" w:color="auto"/>
              <w:right w:val="single" w:sz="4" w:space="0" w:color="auto"/>
            </w:tcBorders>
            <w:shd w:val="clear" w:color="auto" w:fill="auto"/>
            <w:noWrap/>
          </w:tcPr>
          <w:p w14:paraId="11C55F1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7.25</w:t>
            </w:r>
          </w:p>
        </w:tc>
        <w:tc>
          <w:tcPr>
            <w:tcW w:w="627" w:type="dxa"/>
            <w:tcBorders>
              <w:top w:val="nil"/>
              <w:left w:val="nil"/>
              <w:bottom w:val="single" w:sz="4" w:space="0" w:color="auto"/>
              <w:right w:val="single" w:sz="4" w:space="0" w:color="auto"/>
            </w:tcBorders>
            <w:shd w:val="clear" w:color="auto" w:fill="auto"/>
            <w:noWrap/>
          </w:tcPr>
          <w:p w14:paraId="5BDCAE3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7.05</w:t>
            </w:r>
          </w:p>
        </w:tc>
        <w:tc>
          <w:tcPr>
            <w:tcW w:w="627" w:type="dxa"/>
            <w:tcBorders>
              <w:top w:val="nil"/>
              <w:left w:val="nil"/>
              <w:bottom w:val="single" w:sz="4" w:space="0" w:color="auto"/>
              <w:right w:val="single" w:sz="4" w:space="0" w:color="auto"/>
            </w:tcBorders>
            <w:shd w:val="clear" w:color="auto" w:fill="auto"/>
            <w:noWrap/>
          </w:tcPr>
          <w:p w14:paraId="3C1395A5"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6.61</w:t>
            </w:r>
          </w:p>
        </w:tc>
        <w:tc>
          <w:tcPr>
            <w:tcW w:w="627" w:type="dxa"/>
            <w:tcBorders>
              <w:top w:val="nil"/>
              <w:left w:val="nil"/>
              <w:bottom w:val="single" w:sz="4" w:space="0" w:color="auto"/>
              <w:right w:val="single" w:sz="4" w:space="0" w:color="auto"/>
            </w:tcBorders>
            <w:shd w:val="clear" w:color="auto" w:fill="auto"/>
            <w:noWrap/>
          </w:tcPr>
          <w:p w14:paraId="5660C0D8"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6.28</w:t>
            </w:r>
          </w:p>
        </w:tc>
        <w:tc>
          <w:tcPr>
            <w:tcW w:w="627" w:type="dxa"/>
            <w:tcBorders>
              <w:top w:val="nil"/>
              <w:left w:val="nil"/>
              <w:bottom w:val="single" w:sz="4" w:space="0" w:color="auto"/>
              <w:right w:val="single" w:sz="4" w:space="0" w:color="auto"/>
            </w:tcBorders>
            <w:shd w:val="clear" w:color="auto" w:fill="auto"/>
            <w:noWrap/>
          </w:tcPr>
          <w:p w14:paraId="58D2F981"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5.95</w:t>
            </w:r>
          </w:p>
        </w:tc>
        <w:tc>
          <w:tcPr>
            <w:tcW w:w="627" w:type="dxa"/>
            <w:tcBorders>
              <w:top w:val="nil"/>
              <w:left w:val="nil"/>
              <w:bottom w:val="single" w:sz="4" w:space="0" w:color="auto"/>
              <w:right w:val="single" w:sz="4" w:space="0" w:color="auto"/>
            </w:tcBorders>
            <w:shd w:val="clear" w:color="auto" w:fill="auto"/>
            <w:noWrap/>
          </w:tcPr>
          <w:p w14:paraId="30BABE4E"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5.62</w:t>
            </w:r>
          </w:p>
        </w:tc>
        <w:tc>
          <w:tcPr>
            <w:tcW w:w="627" w:type="dxa"/>
            <w:tcBorders>
              <w:top w:val="nil"/>
              <w:left w:val="nil"/>
              <w:bottom w:val="single" w:sz="4" w:space="0" w:color="auto"/>
              <w:right w:val="single" w:sz="4" w:space="0" w:color="auto"/>
            </w:tcBorders>
            <w:shd w:val="clear" w:color="auto" w:fill="auto"/>
            <w:noWrap/>
          </w:tcPr>
          <w:p w14:paraId="07237428"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5.30</w:t>
            </w:r>
          </w:p>
        </w:tc>
        <w:tc>
          <w:tcPr>
            <w:tcW w:w="627" w:type="dxa"/>
            <w:tcBorders>
              <w:top w:val="nil"/>
              <w:left w:val="nil"/>
              <w:bottom w:val="single" w:sz="4" w:space="0" w:color="auto"/>
              <w:right w:val="single" w:sz="4" w:space="0" w:color="auto"/>
            </w:tcBorders>
            <w:shd w:val="clear" w:color="auto" w:fill="auto"/>
            <w:noWrap/>
          </w:tcPr>
          <w:p w14:paraId="762BD062"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5.04</w:t>
            </w:r>
          </w:p>
        </w:tc>
      </w:tr>
      <w:tr w:rsidR="00BE240D" w:rsidRPr="001D5AE2" w14:paraId="019FB071" w14:textId="77777777" w:rsidTr="00BE240D">
        <w:trPr>
          <w:trHeight w:val="286"/>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21C08B8" w14:textId="77777777" w:rsidR="00BE240D" w:rsidRPr="001D5AE2" w:rsidRDefault="00BE240D" w:rsidP="0097614A">
            <w:pPr>
              <w:spacing w:after="0" w:line="240" w:lineRule="auto"/>
              <w:rPr>
                <w:rFonts w:ascii="Calibri" w:eastAsia="Times New Roman" w:hAnsi="Calibri" w:cs="Calibri"/>
                <w:color w:val="000000"/>
                <w:sz w:val="18"/>
                <w:szCs w:val="18"/>
              </w:rPr>
            </w:pPr>
            <w:r w:rsidRPr="001D5AE2">
              <w:rPr>
                <w:rFonts w:ascii="Calibri" w:eastAsia="Times New Roman" w:hAnsi="Calibri" w:cs="Calibri"/>
                <w:color w:val="000000"/>
                <w:sz w:val="18"/>
                <w:szCs w:val="18"/>
              </w:rPr>
              <w:t>Expenditures as a share of SGDP</w:t>
            </w:r>
          </w:p>
        </w:tc>
        <w:tc>
          <w:tcPr>
            <w:tcW w:w="963" w:type="dxa"/>
            <w:tcBorders>
              <w:top w:val="nil"/>
              <w:left w:val="nil"/>
              <w:bottom w:val="single" w:sz="4" w:space="0" w:color="auto"/>
              <w:right w:val="single" w:sz="4" w:space="0" w:color="auto"/>
            </w:tcBorders>
            <w:shd w:val="clear" w:color="auto" w:fill="auto"/>
            <w:noWrap/>
            <w:hideMark/>
          </w:tcPr>
          <w:p w14:paraId="68875A4D"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nil</w:t>
            </w:r>
          </w:p>
        </w:tc>
        <w:tc>
          <w:tcPr>
            <w:tcW w:w="627" w:type="dxa"/>
            <w:tcBorders>
              <w:top w:val="nil"/>
              <w:left w:val="nil"/>
              <w:bottom w:val="single" w:sz="4" w:space="0" w:color="auto"/>
              <w:right w:val="single" w:sz="4" w:space="0" w:color="auto"/>
            </w:tcBorders>
            <w:shd w:val="clear" w:color="auto" w:fill="auto"/>
            <w:noWrap/>
          </w:tcPr>
          <w:p w14:paraId="2BA0258C"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9.50</w:t>
            </w:r>
          </w:p>
        </w:tc>
        <w:tc>
          <w:tcPr>
            <w:tcW w:w="627" w:type="dxa"/>
            <w:tcBorders>
              <w:top w:val="nil"/>
              <w:left w:val="nil"/>
              <w:bottom w:val="single" w:sz="4" w:space="0" w:color="auto"/>
              <w:right w:val="single" w:sz="4" w:space="0" w:color="auto"/>
            </w:tcBorders>
            <w:shd w:val="clear" w:color="auto" w:fill="auto"/>
            <w:noWrap/>
          </w:tcPr>
          <w:p w14:paraId="39CD4314"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7.86</w:t>
            </w:r>
          </w:p>
        </w:tc>
        <w:tc>
          <w:tcPr>
            <w:tcW w:w="627" w:type="dxa"/>
            <w:tcBorders>
              <w:top w:val="nil"/>
              <w:left w:val="nil"/>
              <w:bottom w:val="single" w:sz="4" w:space="0" w:color="auto"/>
              <w:right w:val="single" w:sz="4" w:space="0" w:color="auto"/>
            </w:tcBorders>
            <w:shd w:val="clear" w:color="auto" w:fill="auto"/>
            <w:noWrap/>
          </w:tcPr>
          <w:p w14:paraId="12931A3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8.24</w:t>
            </w:r>
          </w:p>
        </w:tc>
        <w:tc>
          <w:tcPr>
            <w:tcW w:w="627" w:type="dxa"/>
            <w:tcBorders>
              <w:top w:val="nil"/>
              <w:left w:val="nil"/>
              <w:bottom w:val="single" w:sz="4" w:space="0" w:color="auto"/>
              <w:right w:val="single" w:sz="4" w:space="0" w:color="auto"/>
            </w:tcBorders>
            <w:shd w:val="clear" w:color="auto" w:fill="auto"/>
            <w:noWrap/>
          </w:tcPr>
          <w:p w14:paraId="3061F33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8.13</w:t>
            </w:r>
          </w:p>
        </w:tc>
        <w:tc>
          <w:tcPr>
            <w:tcW w:w="627" w:type="dxa"/>
            <w:tcBorders>
              <w:top w:val="nil"/>
              <w:left w:val="nil"/>
              <w:bottom w:val="single" w:sz="4" w:space="0" w:color="auto"/>
              <w:right w:val="single" w:sz="4" w:space="0" w:color="auto"/>
            </w:tcBorders>
            <w:shd w:val="clear" w:color="auto" w:fill="auto"/>
            <w:noWrap/>
          </w:tcPr>
          <w:p w14:paraId="38BD7900"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7.80</w:t>
            </w:r>
          </w:p>
        </w:tc>
        <w:tc>
          <w:tcPr>
            <w:tcW w:w="627" w:type="dxa"/>
            <w:tcBorders>
              <w:top w:val="nil"/>
              <w:left w:val="nil"/>
              <w:bottom w:val="single" w:sz="4" w:space="0" w:color="auto"/>
              <w:right w:val="single" w:sz="4" w:space="0" w:color="auto"/>
            </w:tcBorders>
            <w:shd w:val="clear" w:color="auto" w:fill="auto"/>
            <w:noWrap/>
          </w:tcPr>
          <w:p w14:paraId="57D7C8EB"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7.18</w:t>
            </w:r>
          </w:p>
        </w:tc>
        <w:tc>
          <w:tcPr>
            <w:tcW w:w="627" w:type="dxa"/>
            <w:tcBorders>
              <w:top w:val="nil"/>
              <w:left w:val="nil"/>
              <w:bottom w:val="single" w:sz="4" w:space="0" w:color="auto"/>
              <w:right w:val="single" w:sz="4" w:space="0" w:color="auto"/>
            </w:tcBorders>
            <w:shd w:val="clear" w:color="auto" w:fill="auto"/>
            <w:noWrap/>
          </w:tcPr>
          <w:p w14:paraId="0C43C9FF"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7.17</w:t>
            </w:r>
          </w:p>
        </w:tc>
        <w:tc>
          <w:tcPr>
            <w:tcW w:w="627" w:type="dxa"/>
            <w:tcBorders>
              <w:top w:val="nil"/>
              <w:left w:val="nil"/>
              <w:bottom w:val="single" w:sz="4" w:space="0" w:color="auto"/>
              <w:right w:val="single" w:sz="4" w:space="0" w:color="auto"/>
            </w:tcBorders>
            <w:shd w:val="clear" w:color="auto" w:fill="auto"/>
            <w:noWrap/>
          </w:tcPr>
          <w:p w14:paraId="1FA90153"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6.58</w:t>
            </w:r>
          </w:p>
        </w:tc>
        <w:tc>
          <w:tcPr>
            <w:tcW w:w="627" w:type="dxa"/>
            <w:tcBorders>
              <w:top w:val="nil"/>
              <w:left w:val="nil"/>
              <w:bottom w:val="single" w:sz="4" w:space="0" w:color="auto"/>
              <w:right w:val="single" w:sz="4" w:space="0" w:color="auto"/>
            </w:tcBorders>
            <w:shd w:val="clear" w:color="auto" w:fill="auto"/>
            <w:noWrap/>
          </w:tcPr>
          <w:p w14:paraId="31A47DC8"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6.34</w:t>
            </w:r>
          </w:p>
        </w:tc>
        <w:tc>
          <w:tcPr>
            <w:tcW w:w="627" w:type="dxa"/>
            <w:tcBorders>
              <w:top w:val="nil"/>
              <w:left w:val="nil"/>
              <w:bottom w:val="single" w:sz="4" w:space="0" w:color="auto"/>
              <w:right w:val="single" w:sz="4" w:space="0" w:color="auto"/>
            </w:tcBorders>
            <w:shd w:val="clear" w:color="auto" w:fill="auto"/>
            <w:noWrap/>
          </w:tcPr>
          <w:p w14:paraId="0E7A3714" w14:textId="77777777" w:rsidR="00BE240D" w:rsidRPr="001D5AE2" w:rsidRDefault="00BE240D" w:rsidP="0097614A">
            <w:pPr>
              <w:spacing w:after="0" w:line="240" w:lineRule="auto"/>
              <w:jc w:val="center"/>
              <w:rPr>
                <w:rFonts w:ascii="Calibri" w:eastAsia="Times New Roman" w:hAnsi="Calibri" w:cs="Calibri"/>
                <w:color w:val="000000"/>
                <w:sz w:val="18"/>
                <w:szCs w:val="18"/>
              </w:rPr>
            </w:pPr>
            <w:r w:rsidRPr="001D5AE2">
              <w:rPr>
                <w:rFonts w:ascii="Calibri" w:eastAsia="Times New Roman" w:hAnsi="Calibri" w:cs="Calibri"/>
                <w:color w:val="000000"/>
                <w:sz w:val="18"/>
                <w:szCs w:val="18"/>
              </w:rPr>
              <w:t>6.20</w:t>
            </w:r>
          </w:p>
        </w:tc>
      </w:tr>
    </w:tbl>
    <w:p w14:paraId="66409F0A" w14:textId="77777777" w:rsidR="00BE240D" w:rsidRPr="001D5AE2" w:rsidRDefault="00BE240D" w:rsidP="00BE240D">
      <w:pPr>
        <w:spacing w:line="360" w:lineRule="auto"/>
        <w:jc w:val="both"/>
        <w:rPr>
          <w:rFonts w:ascii="Tahoma" w:hAnsi="Tahoma" w:cs="Tahoma"/>
          <w:bCs/>
          <w:iCs/>
        </w:rPr>
      </w:pPr>
    </w:p>
    <w:p w14:paraId="2375EFFA" w14:textId="26407404" w:rsidR="00375095" w:rsidRPr="001D5AE2" w:rsidRDefault="00AF48C1" w:rsidP="00B83DF3">
      <w:pPr>
        <w:spacing w:after="0" w:line="360" w:lineRule="auto"/>
        <w:jc w:val="both"/>
        <w:rPr>
          <w:rFonts w:ascii="Tahoma" w:hAnsi="Tahoma" w:cs="Tahoma"/>
          <w:bCs/>
          <w:iCs/>
        </w:rPr>
      </w:pPr>
      <w:r w:rsidRPr="001D5AE2">
        <w:rPr>
          <w:noProof/>
        </w:rPr>
        <w:lastRenderedPageBreak/>
        <w:drawing>
          <wp:inline distT="0" distB="0" distL="0" distR="0" wp14:anchorId="272FC922" wp14:editId="5B1488B9">
            <wp:extent cx="5485765" cy="7988060"/>
            <wp:effectExtent l="0" t="0" r="635" b="0"/>
            <wp:docPr id="682480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0338" cy="7994718"/>
                    </a:xfrm>
                    <a:prstGeom prst="rect">
                      <a:avLst/>
                    </a:prstGeom>
                    <a:noFill/>
                    <a:ln>
                      <a:noFill/>
                    </a:ln>
                  </pic:spPr>
                </pic:pic>
              </a:graphicData>
            </a:graphic>
          </wp:inline>
        </w:drawing>
      </w:r>
    </w:p>
    <w:p w14:paraId="6E1E7113" w14:textId="77777777" w:rsidR="00375095" w:rsidRPr="001D5AE2" w:rsidRDefault="00375095" w:rsidP="004836B7">
      <w:pPr>
        <w:spacing w:line="360" w:lineRule="auto"/>
        <w:jc w:val="both"/>
        <w:rPr>
          <w:rFonts w:ascii="Tahoma" w:hAnsi="Tahoma" w:cs="Tahoma"/>
          <w:bCs/>
          <w:iCs/>
        </w:rPr>
        <w:sectPr w:rsidR="00375095" w:rsidRPr="001D5AE2" w:rsidSect="00971134">
          <w:footerReference w:type="default" r:id="rId21"/>
          <w:pgSz w:w="12240" w:h="15840" w:code="1"/>
          <w:pgMar w:top="1440" w:right="1800" w:bottom="1440" w:left="1800" w:header="720" w:footer="720" w:gutter="0"/>
          <w:cols w:space="720"/>
          <w:docGrid w:linePitch="360"/>
        </w:sectPr>
      </w:pPr>
    </w:p>
    <w:p w14:paraId="2AFBE2E4" w14:textId="5F971F75" w:rsidR="00856B93" w:rsidRPr="001D5AE2" w:rsidRDefault="00856B93" w:rsidP="00856B93">
      <w:pPr>
        <w:spacing w:after="0" w:line="360" w:lineRule="auto"/>
        <w:jc w:val="both"/>
        <w:rPr>
          <w:rFonts w:ascii="Tahoma" w:hAnsi="Tahoma" w:cs="Tahoma"/>
          <w:b/>
          <w:bCs/>
        </w:rPr>
      </w:pPr>
      <w:r w:rsidRPr="001D5AE2">
        <w:rPr>
          <w:rFonts w:ascii="Tahoma" w:hAnsi="Tahoma" w:cs="Tahoma"/>
          <w:b/>
          <w:bCs/>
        </w:rPr>
        <w:lastRenderedPageBreak/>
        <w:t>Conclusion</w:t>
      </w:r>
    </w:p>
    <w:p w14:paraId="1C3C07F7" w14:textId="504C0CB9" w:rsidR="00856B93" w:rsidRPr="001D5AE2" w:rsidRDefault="00856B93" w:rsidP="00856B93">
      <w:pPr>
        <w:spacing w:line="360" w:lineRule="auto"/>
        <w:jc w:val="both"/>
        <w:rPr>
          <w:rFonts w:ascii="Tahoma" w:hAnsi="Tahoma" w:cs="Tahoma"/>
        </w:rPr>
      </w:pPr>
      <w:r w:rsidRPr="001D5AE2">
        <w:rPr>
          <w:rFonts w:ascii="Tahoma" w:hAnsi="Tahoma" w:cs="Tahoma"/>
        </w:rPr>
        <w:t>The outcome of the 202</w:t>
      </w:r>
      <w:r w:rsidR="005A040A" w:rsidRPr="001D5AE2">
        <w:rPr>
          <w:rFonts w:ascii="Tahoma" w:hAnsi="Tahoma" w:cs="Tahoma"/>
        </w:rPr>
        <w:t>4</w:t>
      </w:r>
      <w:r w:rsidRPr="001D5AE2">
        <w:rPr>
          <w:rFonts w:ascii="Tahoma" w:hAnsi="Tahoma" w:cs="Tahoma"/>
        </w:rPr>
        <w:t xml:space="preserve"> DSA revealed that </w:t>
      </w:r>
      <w:r w:rsidR="00865C76" w:rsidRPr="001D5AE2">
        <w:rPr>
          <w:rFonts w:ascii="Tahoma" w:hAnsi="Tahoma" w:cs="Tahoma"/>
        </w:rPr>
        <w:t>Kebbi</w:t>
      </w:r>
      <w:r w:rsidR="00D826C6" w:rsidRPr="001D5AE2">
        <w:rPr>
          <w:rFonts w:ascii="Tahoma" w:hAnsi="Tahoma" w:cs="Tahoma"/>
        </w:rPr>
        <w:t xml:space="preserve"> State</w:t>
      </w:r>
      <w:r w:rsidRPr="001D5AE2">
        <w:rPr>
          <w:rFonts w:ascii="Tahoma" w:hAnsi="Tahoma" w:cs="Tahoma"/>
        </w:rPr>
        <w:t xml:space="preserve">’s Total Debt remains at a </w:t>
      </w:r>
      <w:r w:rsidR="00EF003B" w:rsidRPr="001D5AE2">
        <w:rPr>
          <w:rFonts w:ascii="Tahoma" w:hAnsi="Tahoma" w:cs="Tahoma"/>
        </w:rPr>
        <w:t>Low</w:t>
      </w:r>
      <w:r w:rsidR="00B7144E" w:rsidRPr="001D5AE2">
        <w:rPr>
          <w:rFonts w:ascii="Tahoma" w:hAnsi="Tahoma" w:cs="Tahoma"/>
        </w:rPr>
        <w:t xml:space="preserve"> </w:t>
      </w:r>
      <w:r w:rsidRPr="001D5AE2">
        <w:rPr>
          <w:rFonts w:ascii="Tahoma" w:hAnsi="Tahoma" w:cs="Tahoma"/>
        </w:rPr>
        <w:t xml:space="preserve">Risk of Debt distress with substantial space to accommodate </w:t>
      </w:r>
      <w:r w:rsidR="00B7144E" w:rsidRPr="001D5AE2">
        <w:rPr>
          <w:rFonts w:ascii="Tahoma" w:hAnsi="Tahoma" w:cs="Tahoma"/>
        </w:rPr>
        <w:t>shocks</w:t>
      </w:r>
      <w:r w:rsidRPr="001D5AE2">
        <w:rPr>
          <w:rFonts w:ascii="Tahoma" w:hAnsi="Tahoma" w:cs="Tahoma"/>
        </w:rPr>
        <w:t xml:space="preserve">. </w:t>
      </w:r>
      <w:r w:rsidR="00865C76" w:rsidRPr="001D5AE2">
        <w:rPr>
          <w:rFonts w:ascii="Tahoma" w:hAnsi="Tahoma" w:cs="Tahoma"/>
        </w:rPr>
        <w:t>Kebbi</w:t>
      </w:r>
      <w:r w:rsidRPr="001D5AE2">
        <w:rPr>
          <w:rFonts w:ascii="Tahoma" w:hAnsi="Tahoma" w:cs="Tahoma"/>
        </w:rPr>
        <w:t xml:space="preserve"> State Risk Rating remains at a Moderate Risk of debt distress with capacity to accommodate </w:t>
      </w:r>
      <w:r w:rsidR="00B7144E" w:rsidRPr="001D5AE2">
        <w:rPr>
          <w:rFonts w:ascii="Tahoma" w:hAnsi="Tahoma" w:cs="Tahoma"/>
        </w:rPr>
        <w:t>shocks</w:t>
      </w:r>
      <w:r w:rsidRPr="001D5AE2">
        <w:rPr>
          <w:rFonts w:ascii="Tahoma" w:hAnsi="Tahoma" w:cs="Tahoma"/>
        </w:rPr>
        <w:t xml:space="preserve"> in Revenue, Expenditure, Exchange rate and Interest Rate. The ongoing efforts by the government towards improving revenue generation and diversifying the economy, through various initiatives and reforms in Tax Administration and Collections, as well as the Strategic Revenue Law, would improve the outlook for Total Debt with enhanced revenue performance. Thus, the Revenue indicators and Borrowing Space are expected to improve in the medium to long-term.</w:t>
      </w:r>
    </w:p>
    <w:p w14:paraId="460A5EFB" w14:textId="77777777" w:rsidR="00856B93" w:rsidRPr="001D5AE2" w:rsidRDefault="00856B93" w:rsidP="00856B93">
      <w:pPr>
        <w:pStyle w:val="ListParagraph"/>
        <w:numPr>
          <w:ilvl w:val="2"/>
          <w:numId w:val="20"/>
        </w:numPr>
        <w:spacing w:after="0" w:line="360" w:lineRule="auto"/>
        <w:rPr>
          <w:rFonts w:ascii="Tahoma" w:hAnsi="Tahoma" w:cs="Tahoma"/>
          <w:b/>
          <w:iCs/>
        </w:rPr>
      </w:pPr>
      <w:r w:rsidRPr="001D5AE2">
        <w:rPr>
          <w:rFonts w:ascii="Tahoma" w:hAnsi="Tahoma" w:cs="Tahoma"/>
          <w:b/>
          <w:iCs/>
        </w:rPr>
        <w:t>DSA Sensitivity Analysis</w:t>
      </w:r>
    </w:p>
    <w:p w14:paraId="4059CEB6" w14:textId="2A6CBD6B" w:rsidR="00F31E8E" w:rsidRPr="001D5AE2" w:rsidRDefault="00F31E8E" w:rsidP="00F31E8E">
      <w:pPr>
        <w:spacing w:line="360" w:lineRule="auto"/>
        <w:jc w:val="both"/>
        <w:rPr>
          <w:rFonts w:ascii="Tahoma" w:hAnsi="Tahoma" w:cs="Tahoma"/>
          <w:bCs/>
          <w:iCs/>
        </w:rPr>
      </w:pPr>
      <w:r w:rsidRPr="001D5AE2">
        <w:rPr>
          <w:rFonts w:ascii="Tahoma" w:hAnsi="Tahoma" w:cs="Tahoma"/>
          <w:bCs/>
          <w:iCs/>
        </w:rPr>
        <w:t xml:space="preserve">The </w:t>
      </w:r>
      <w:r w:rsidR="00F12FFB" w:rsidRPr="001D5AE2">
        <w:rPr>
          <w:rFonts w:ascii="Tahoma" w:hAnsi="Tahoma" w:cs="Tahoma"/>
          <w:bCs/>
          <w:iCs/>
        </w:rPr>
        <w:t xml:space="preserve">Kebbi </w:t>
      </w:r>
      <w:r w:rsidRPr="001D5AE2">
        <w:rPr>
          <w:rFonts w:ascii="Tahoma" w:hAnsi="Tahoma" w:cs="Tahoma"/>
          <w:bCs/>
          <w:iCs/>
        </w:rPr>
        <w:t xml:space="preserve">2023 DSA analysis remains at moderate risk of debt distress under sensitivity analysis. The State DSA under a pessimistic scenario shows deteriorated or weakening ratios due to application of revenue shocks, expenditure shocks, exchange rate shocks, interest rate shocks and historical shock, that would lead to increase Gross Financing Needs over the projection period. The shocks applied breached the threshold under debt stock as </w:t>
      </w:r>
      <w:r w:rsidR="007D5959" w:rsidRPr="001D5AE2">
        <w:rPr>
          <w:rFonts w:ascii="Tahoma" w:hAnsi="Tahoma" w:cs="Tahoma"/>
          <w:bCs/>
          <w:iCs/>
        </w:rPr>
        <w:t>percentage</w:t>
      </w:r>
      <w:r w:rsidRPr="001D5AE2">
        <w:rPr>
          <w:rFonts w:ascii="Tahoma" w:hAnsi="Tahoma" w:cs="Tahoma"/>
          <w:bCs/>
          <w:iCs/>
        </w:rPr>
        <w:t xml:space="preserve"> of </w:t>
      </w:r>
      <w:r w:rsidR="00D000FB" w:rsidRPr="001D5AE2">
        <w:rPr>
          <w:rFonts w:ascii="Tahoma" w:hAnsi="Tahoma" w:cs="Tahoma"/>
          <w:bCs/>
          <w:iCs/>
        </w:rPr>
        <w:t xml:space="preserve">GDP that </w:t>
      </w:r>
      <w:r w:rsidRPr="001D5AE2">
        <w:rPr>
          <w:rFonts w:ascii="Tahoma" w:hAnsi="Tahoma" w:cs="Tahoma"/>
          <w:bCs/>
          <w:iCs/>
        </w:rPr>
        <w:t>breached the benchmarks from 2028 to 203</w:t>
      </w:r>
      <w:r w:rsidR="002143FE" w:rsidRPr="001D5AE2">
        <w:rPr>
          <w:rFonts w:ascii="Tahoma" w:hAnsi="Tahoma" w:cs="Tahoma"/>
          <w:bCs/>
          <w:iCs/>
        </w:rPr>
        <w:t>3</w:t>
      </w:r>
      <w:r w:rsidRPr="001D5AE2">
        <w:rPr>
          <w:rFonts w:ascii="Tahoma" w:hAnsi="Tahoma" w:cs="Tahoma"/>
          <w:bCs/>
          <w:iCs/>
        </w:rPr>
        <w:t xml:space="preserve"> through </w:t>
      </w:r>
      <w:r w:rsidR="00290995" w:rsidRPr="001D5AE2">
        <w:rPr>
          <w:rFonts w:ascii="Tahoma" w:hAnsi="Tahoma" w:cs="Tahoma"/>
          <w:bCs/>
          <w:iCs/>
        </w:rPr>
        <w:t xml:space="preserve">historical </w:t>
      </w:r>
      <w:r w:rsidRPr="001D5AE2">
        <w:rPr>
          <w:rFonts w:ascii="Tahoma" w:hAnsi="Tahoma" w:cs="Tahoma"/>
          <w:bCs/>
          <w:iCs/>
        </w:rPr>
        <w:t>Shocks</w:t>
      </w:r>
      <w:r w:rsidR="00290995" w:rsidRPr="001D5AE2">
        <w:rPr>
          <w:rFonts w:ascii="Tahoma" w:hAnsi="Tahoma" w:cs="Tahoma"/>
          <w:bCs/>
          <w:iCs/>
        </w:rPr>
        <w:t xml:space="preserve">, as well as under debt </w:t>
      </w:r>
      <w:r w:rsidR="00452F4E" w:rsidRPr="001D5AE2">
        <w:rPr>
          <w:rFonts w:ascii="Tahoma" w:hAnsi="Tahoma" w:cs="Tahoma"/>
          <w:bCs/>
          <w:iCs/>
        </w:rPr>
        <w:t>stock as percentage of revenue as the historical shock</w:t>
      </w:r>
      <w:r w:rsidR="00176958" w:rsidRPr="001D5AE2">
        <w:rPr>
          <w:rFonts w:ascii="Tahoma" w:hAnsi="Tahoma" w:cs="Tahoma"/>
          <w:bCs/>
          <w:iCs/>
        </w:rPr>
        <w:t xml:space="preserve">s breached the threshold </w:t>
      </w:r>
      <w:r w:rsidR="002143FE" w:rsidRPr="001D5AE2">
        <w:rPr>
          <w:rFonts w:ascii="Tahoma" w:hAnsi="Tahoma" w:cs="Tahoma"/>
          <w:bCs/>
          <w:iCs/>
        </w:rPr>
        <w:t>from 2027 to 2033, respectively</w:t>
      </w:r>
      <w:r w:rsidRPr="001D5AE2">
        <w:rPr>
          <w:rFonts w:ascii="Tahoma" w:hAnsi="Tahoma" w:cs="Tahoma"/>
          <w:bCs/>
          <w:iCs/>
        </w:rPr>
        <w:t>. There is an urgent need for the authorities to fast-track efforts aimed at further diversifying the sources of revenue away from crude oil (FAAC), as well as implementing far-reaching policies that will bolster IGR into the state. This has become critical, given the continued volatility in the FAAC allocation.</w:t>
      </w:r>
    </w:p>
    <w:p w14:paraId="610526DD" w14:textId="505BF5F5" w:rsidR="00F31E8E" w:rsidRPr="001D5AE2" w:rsidRDefault="00F31E8E" w:rsidP="00F31E8E">
      <w:pPr>
        <w:spacing w:line="360" w:lineRule="auto"/>
        <w:jc w:val="both"/>
        <w:rPr>
          <w:rFonts w:ascii="Tahoma" w:hAnsi="Tahoma" w:cs="Tahoma"/>
          <w:bCs/>
          <w:iCs/>
        </w:rPr>
      </w:pPr>
      <w:r w:rsidRPr="001D5AE2">
        <w:rPr>
          <w:rFonts w:ascii="Tahoma" w:hAnsi="Tahoma" w:cs="Tahoma"/>
          <w:bCs/>
          <w:iCs/>
        </w:rPr>
        <w:t>Strict adherence to prudent debt management as well as fiscal discipline contributed towards debt sustainability.  With the provisions of law guiding domestic and international borrowing by Fiscal Responsibility Act, and Debt Management, the Government is positioned for prudent debt management and fiscal discipline to be able to honor its future financial obligations without recourse to any financing options.</w:t>
      </w:r>
    </w:p>
    <w:p w14:paraId="564D8C4F" w14:textId="469553C4" w:rsidR="003E47E9" w:rsidRPr="001D5AE2" w:rsidRDefault="003E47E9" w:rsidP="00F12FFB">
      <w:pPr>
        <w:spacing w:line="360" w:lineRule="auto"/>
        <w:jc w:val="both"/>
        <w:rPr>
          <w:rFonts w:ascii="Tahoma" w:hAnsi="Tahoma" w:cs="Tahoma"/>
          <w:bCs/>
          <w:iCs/>
        </w:rPr>
      </w:pPr>
      <w:r w:rsidRPr="001D5AE2">
        <w:rPr>
          <w:rFonts w:ascii="Tahoma" w:hAnsi="Tahoma" w:cs="Tahoma"/>
          <w:bCs/>
          <w:iCs/>
        </w:rPr>
        <w:t xml:space="preserve"> The projections under the Kebbi State 202</w:t>
      </w:r>
      <w:r w:rsidR="0057690A" w:rsidRPr="001D5AE2">
        <w:rPr>
          <w:rFonts w:ascii="Tahoma" w:hAnsi="Tahoma" w:cs="Tahoma"/>
          <w:bCs/>
          <w:iCs/>
        </w:rPr>
        <w:t>3</w:t>
      </w:r>
      <w:r w:rsidRPr="001D5AE2">
        <w:rPr>
          <w:rFonts w:ascii="Tahoma" w:hAnsi="Tahoma" w:cs="Tahoma"/>
          <w:bCs/>
          <w:iCs/>
        </w:rPr>
        <w:t xml:space="preserve"> DSA </w:t>
      </w:r>
      <w:r w:rsidR="0057690A" w:rsidRPr="001D5AE2">
        <w:rPr>
          <w:rFonts w:ascii="Tahoma" w:hAnsi="Tahoma" w:cs="Tahoma"/>
          <w:bCs/>
          <w:iCs/>
        </w:rPr>
        <w:t>remain</w:t>
      </w:r>
      <w:r w:rsidRPr="001D5AE2">
        <w:rPr>
          <w:rFonts w:ascii="Tahoma" w:hAnsi="Tahoma" w:cs="Tahoma"/>
          <w:bCs/>
          <w:iCs/>
        </w:rPr>
        <w:t xml:space="preserve"> sustainable due to strict adherence to prudent debt management as well as fiscal discipline.  With the provisions of law guiding domestic and international borrowing by Fiscal Responsibility Act, and Debt Management, the Government is positioned for prudent debt management and fiscal discipline in order to be able to honor its future financial obligations without recourse to any financing options.</w:t>
      </w:r>
    </w:p>
    <w:p w14:paraId="16EA8B44" w14:textId="484F9851" w:rsidR="00856B93" w:rsidRPr="001D5AE2" w:rsidRDefault="00856B93" w:rsidP="00856B93">
      <w:pPr>
        <w:spacing w:after="0" w:line="360" w:lineRule="auto"/>
        <w:jc w:val="both"/>
        <w:rPr>
          <w:rFonts w:ascii="Tahoma" w:hAnsi="Tahoma" w:cs="Tahoma"/>
          <w:bCs/>
          <w:iCs/>
        </w:rPr>
      </w:pPr>
    </w:p>
    <w:p w14:paraId="30933DCF" w14:textId="33109FCF" w:rsidR="00EE4B4D" w:rsidRPr="001D5AE2" w:rsidRDefault="00EE4B4D" w:rsidP="00856B93">
      <w:pPr>
        <w:spacing w:after="0" w:line="360" w:lineRule="auto"/>
        <w:jc w:val="both"/>
        <w:rPr>
          <w:rFonts w:ascii="Tahoma" w:hAnsi="Tahoma" w:cs="Tahoma"/>
          <w:bCs/>
          <w:iCs/>
        </w:rPr>
      </w:pPr>
    </w:p>
    <w:p w14:paraId="7F14F06E" w14:textId="7052AA5B" w:rsidR="00EE4B4D" w:rsidRPr="001D5AE2" w:rsidRDefault="0013492B" w:rsidP="00856B93">
      <w:pPr>
        <w:spacing w:after="0" w:line="360" w:lineRule="auto"/>
        <w:jc w:val="both"/>
        <w:rPr>
          <w:rFonts w:ascii="Tahoma" w:hAnsi="Tahoma" w:cs="Tahoma"/>
          <w:bCs/>
          <w:iCs/>
        </w:rPr>
      </w:pPr>
      <w:r w:rsidRPr="001D5AE2">
        <w:rPr>
          <w:noProof/>
        </w:rPr>
        <w:drawing>
          <wp:inline distT="0" distB="0" distL="0" distR="0" wp14:anchorId="78AAF592" wp14:editId="79D6F4E5">
            <wp:extent cx="5943600" cy="6266815"/>
            <wp:effectExtent l="0" t="0" r="0" b="635"/>
            <wp:docPr id="10891229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6266815"/>
                    </a:xfrm>
                    <a:prstGeom prst="rect">
                      <a:avLst/>
                    </a:prstGeom>
                    <a:noFill/>
                    <a:ln>
                      <a:noFill/>
                    </a:ln>
                  </pic:spPr>
                </pic:pic>
              </a:graphicData>
            </a:graphic>
          </wp:inline>
        </w:drawing>
      </w:r>
    </w:p>
    <w:p w14:paraId="3EED7F81" w14:textId="15DFFD8C" w:rsidR="00856B93" w:rsidRPr="001D5AE2" w:rsidRDefault="00856B93" w:rsidP="00856B93">
      <w:pPr>
        <w:spacing w:line="360" w:lineRule="auto"/>
        <w:rPr>
          <w:rFonts w:ascii="Tahoma" w:hAnsi="Tahoma" w:cs="Tahoma"/>
          <w:b/>
        </w:rPr>
      </w:pPr>
    </w:p>
    <w:p w14:paraId="4D0EAAD1" w14:textId="5B14D4FF" w:rsidR="003F7837" w:rsidRPr="001D5AE2" w:rsidRDefault="003F7837" w:rsidP="00856B93">
      <w:pPr>
        <w:spacing w:line="360" w:lineRule="auto"/>
        <w:rPr>
          <w:rFonts w:ascii="Tahoma" w:hAnsi="Tahoma" w:cs="Tahoma"/>
          <w:b/>
        </w:rPr>
      </w:pPr>
    </w:p>
    <w:p w14:paraId="493C31D9" w14:textId="77777777" w:rsidR="003F7837" w:rsidRPr="001D5AE2" w:rsidRDefault="003F7837" w:rsidP="00856B93">
      <w:pPr>
        <w:spacing w:line="360" w:lineRule="auto"/>
        <w:rPr>
          <w:rFonts w:ascii="Tahoma" w:hAnsi="Tahoma" w:cs="Tahoma"/>
          <w:b/>
        </w:rPr>
      </w:pPr>
    </w:p>
    <w:p w14:paraId="78BFC1A4" w14:textId="77777777" w:rsidR="00856B93" w:rsidRPr="001D5AE2" w:rsidRDefault="00856B93" w:rsidP="00856B93">
      <w:pPr>
        <w:spacing w:line="360" w:lineRule="auto"/>
        <w:rPr>
          <w:rFonts w:ascii="Tahoma" w:hAnsi="Tahoma" w:cs="Tahoma"/>
          <w:b/>
        </w:rPr>
      </w:pPr>
    </w:p>
    <w:p w14:paraId="50C870A6" w14:textId="77777777" w:rsidR="00DB06FD" w:rsidRPr="001D5AE2" w:rsidRDefault="00DB06FD" w:rsidP="00856B93">
      <w:pPr>
        <w:spacing w:line="360" w:lineRule="auto"/>
        <w:rPr>
          <w:rFonts w:ascii="Tahoma" w:hAnsi="Tahoma" w:cs="Tahoma"/>
          <w:b/>
        </w:rPr>
      </w:pPr>
    </w:p>
    <w:p w14:paraId="0B80E773" w14:textId="77777777" w:rsidR="00DB06FD" w:rsidRPr="001D5AE2" w:rsidRDefault="00DB06FD" w:rsidP="00856B93">
      <w:pPr>
        <w:spacing w:line="360" w:lineRule="auto"/>
        <w:rPr>
          <w:rFonts w:ascii="Tahoma" w:hAnsi="Tahoma" w:cs="Tahoma"/>
          <w:b/>
        </w:rPr>
      </w:pPr>
    </w:p>
    <w:p w14:paraId="7D2612DF" w14:textId="2A816912" w:rsidR="00764C55" w:rsidRPr="001D5AE2" w:rsidRDefault="00952D67" w:rsidP="00764C55">
      <w:pPr>
        <w:pStyle w:val="Heading1"/>
        <w:spacing w:before="0" w:line="360" w:lineRule="auto"/>
        <w:rPr>
          <w:rFonts w:ascii="Tahoma" w:hAnsi="Tahoma" w:cs="Tahoma"/>
          <w:b/>
          <w:bCs/>
          <w:color w:val="0070C0"/>
          <w:sz w:val="24"/>
          <w:szCs w:val="24"/>
        </w:rPr>
      </w:pPr>
      <w:bookmarkStart w:id="5" w:name="_Toc184224161"/>
      <w:r w:rsidRPr="001D5AE2">
        <w:rPr>
          <w:rFonts w:ascii="Tahoma" w:hAnsi="Tahoma" w:cs="Tahoma"/>
          <w:b/>
          <w:bCs/>
          <w:color w:val="0070C0"/>
          <w:sz w:val="24"/>
          <w:szCs w:val="24"/>
        </w:rPr>
        <w:lastRenderedPageBreak/>
        <w:t xml:space="preserve">Chapter </w:t>
      </w:r>
      <w:r w:rsidR="00056439" w:rsidRPr="001D5AE2">
        <w:rPr>
          <w:rFonts w:ascii="Tahoma" w:hAnsi="Tahoma" w:cs="Tahoma"/>
          <w:b/>
          <w:bCs/>
          <w:color w:val="0070C0"/>
          <w:sz w:val="24"/>
          <w:szCs w:val="24"/>
        </w:rPr>
        <w:t>5</w:t>
      </w:r>
      <w:r w:rsidRPr="001D5AE2">
        <w:rPr>
          <w:rFonts w:ascii="Tahoma" w:hAnsi="Tahoma" w:cs="Tahoma"/>
          <w:b/>
          <w:bCs/>
          <w:color w:val="0070C0"/>
          <w:sz w:val="24"/>
          <w:szCs w:val="24"/>
        </w:rPr>
        <w:t>:</w:t>
      </w:r>
      <w:r w:rsidR="00735334" w:rsidRPr="001D5AE2">
        <w:rPr>
          <w:rFonts w:ascii="Tahoma" w:hAnsi="Tahoma" w:cs="Tahoma"/>
          <w:b/>
          <w:bCs/>
          <w:color w:val="0070C0"/>
          <w:sz w:val="24"/>
          <w:szCs w:val="24"/>
        </w:rPr>
        <w:tab/>
      </w:r>
      <w:r w:rsidRPr="001D5AE2">
        <w:rPr>
          <w:rFonts w:ascii="Tahoma" w:hAnsi="Tahoma" w:cs="Tahoma"/>
          <w:b/>
          <w:bCs/>
          <w:color w:val="0070C0"/>
          <w:sz w:val="24"/>
          <w:szCs w:val="24"/>
        </w:rPr>
        <w:t>Debt Management Strategy</w:t>
      </w:r>
      <w:bookmarkEnd w:id="5"/>
    </w:p>
    <w:p w14:paraId="188573C7" w14:textId="46ABF2D9" w:rsidR="00764C55" w:rsidRPr="001D5AE2" w:rsidRDefault="00F66D52" w:rsidP="008B7717">
      <w:pPr>
        <w:spacing w:line="360" w:lineRule="auto"/>
        <w:jc w:val="both"/>
        <w:rPr>
          <w:rFonts w:ascii="Tahoma" w:hAnsi="Tahoma" w:cs="Tahoma"/>
        </w:rPr>
      </w:pPr>
      <w:r w:rsidRPr="001D5AE2">
        <w:rPr>
          <w:rFonts w:ascii="Tahoma" w:hAnsi="Tahoma" w:cs="Tahoma"/>
        </w:rPr>
        <w:t xml:space="preserve">Sovereign debt management is the process of establishing and executing a strategy for managing the government's debt in order to raise the required amount of funding, achieve its risk and cost </w:t>
      </w:r>
      <w:proofErr w:type="gramStart"/>
      <w:r w:rsidRPr="001D5AE2">
        <w:rPr>
          <w:rFonts w:ascii="Tahoma" w:hAnsi="Tahoma" w:cs="Tahoma"/>
        </w:rPr>
        <w:t>objectives,</w:t>
      </w:r>
      <w:proofErr w:type="gramEnd"/>
      <w:r w:rsidRPr="001D5AE2">
        <w:rPr>
          <w:rFonts w:ascii="Tahoma" w:hAnsi="Tahoma" w:cs="Tahoma"/>
        </w:rPr>
        <w:t xml:space="preserve"> and to meet any other sovereign debt management goals the government may have set, such as developing and maintaining an efficient market for government securities</w:t>
      </w:r>
      <w:r w:rsidR="002E1A61" w:rsidRPr="001D5AE2">
        <w:rPr>
          <w:rFonts w:ascii="Tahoma" w:hAnsi="Tahoma" w:cs="Tahoma"/>
        </w:rPr>
        <w:t xml:space="preserve">. </w:t>
      </w:r>
      <w:r w:rsidR="000A5D8B" w:rsidRPr="001D5AE2">
        <w:rPr>
          <w:rFonts w:ascii="Tahoma" w:hAnsi="Tahoma" w:cs="Tahoma"/>
        </w:rPr>
        <w:t>Debt Management Strategy examines the costs and risks inherent in the current debt portfolio, as well as in the debt portfolios that would arise from a range of possible issuance strategies, in light of factors such as the macroeconomic and financial market environment, the availability of financing from different creditors and markets, and vulnerabilities that may have an impact on future borrowing requirements and debt service costs.</w:t>
      </w:r>
    </w:p>
    <w:p w14:paraId="7AB5671D" w14:textId="4AFE818F" w:rsidR="003974FC" w:rsidRPr="001D5AE2" w:rsidRDefault="003974FC" w:rsidP="003974FC">
      <w:pPr>
        <w:spacing w:line="360" w:lineRule="auto"/>
        <w:jc w:val="both"/>
        <w:rPr>
          <w:rFonts w:ascii="Tahoma" w:hAnsi="Tahoma" w:cs="Tahoma"/>
        </w:rPr>
      </w:pPr>
      <w:r w:rsidRPr="001D5AE2">
        <w:rPr>
          <w:rFonts w:ascii="Tahoma" w:hAnsi="Tahoma" w:cs="Tahoma"/>
        </w:rPr>
        <w:t xml:space="preserve">The risks inherent in the structure of the government's debt should be carefully monitored and evaluated. These risks should be mitigated to the extent feasible by modifying the debt structure, taking into account the cost of doing so. </w:t>
      </w:r>
      <w:r w:rsidR="00CE1C59" w:rsidRPr="001D5AE2">
        <w:rPr>
          <w:rFonts w:ascii="Tahoma" w:hAnsi="Tahoma" w:cs="Tahoma"/>
        </w:rPr>
        <w:t xml:space="preserve">To </w:t>
      </w:r>
      <w:r w:rsidRPr="001D5AE2">
        <w:rPr>
          <w:rFonts w:ascii="Tahoma" w:hAnsi="Tahoma" w:cs="Tahoma"/>
        </w:rPr>
        <w:t xml:space="preserve">guide borrowing decisions and reduce the government's risk, </w:t>
      </w:r>
      <w:r w:rsidR="00BF55A4" w:rsidRPr="001D5AE2">
        <w:rPr>
          <w:rFonts w:ascii="Tahoma" w:hAnsi="Tahoma" w:cs="Tahoma"/>
        </w:rPr>
        <w:t xml:space="preserve">the authorities </w:t>
      </w:r>
      <w:r w:rsidRPr="001D5AE2">
        <w:rPr>
          <w:rFonts w:ascii="Tahoma" w:hAnsi="Tahoma" w:cs="Tahoma"/>
        </w:rPr>
        <w:t>should consider the financial and other risk characteristics of the government's cash flows</w:t>
      </w:r>
      <w:r w:rsidR="0004103B" w:rsidRPr="001D5AE2">
        <w:rPr>
          <w:rFonts w:ascii="Tahoma" w:hAnsi="Tahoma" w:cs="Tahoma"/>
        </w:rPr>
        <w:t xml:space="preserve"> associated with </w:t>
      </w:r>
      <w:r w:rsidR="00F43863" w:rsidRPr="001D5AE2">
        <w:rPr>
          <w:rFonts w:ascii="Tahoma" w:hAnsi="Tahoma" w:cs="Tahoma"/>
        </w:rPr>
        <w:t xml:space="preserve">external and domestic </w:t>
      </w:r>
      <w:r w:rsidR="00126D1D" w:rsidRPr="001D5AE2">
        <w:rPr>
          <w:rFonts w:ascii="Tahoma" w:hAnsi="Tahoma" w:cs="Tahoma"/>
        </w:rPr>
        <w:t>financing</w:t>
      </w:r>
      <w:r w:rsidRPr="001D5AE2">
        <w:rPr>
          <w:rFonts w:ascii="Tahoma" w:hAnsi="Tahoma" w:cs="Tahoma"/>
        </w:rPr>
        <w:t>.</w:t>
      </w:r>
    </w:p>
    <w:p w14:paraId="530112C8" w14:textId="3551666C" w:rsidR="00822968" w:rsidRPr="001D5AE2" w:rsidRDefault="00B84DC1" w:rsidP="008B7717">
      <w:pPr>
        <w:spacing w:line="360" w:lineRule="auto"/>
        <w:jc w:val="both"/>
        <w:rPr>
          <w:rFonts w:ascii="Tahoma" w:hAnsi="Tahoma" w:cs="Tahoma"/>
        </w:rPr>
      </w:pPr>
      <w:r w:rsidRPr="001D5AE2">
        <w:rPr>
          <w:rFonts w:ascii="Tahoma" w:hAnsi="Tahoma" w:cs="Tahoma"/>
        </w:rPr>
        <w:t>The Debt Management Strategy provides alternative strategies to meet the fi</w:t>
      </w:r>
      <w:r w:rsidR="008325D2" w:rsidRPr="001D5AE2">
        <w:rPr>
          <w:rFonts w:ascii="Tahoma" w:hAnsi="Tahoma" w:cs="Tahoma"/>
        </w:rPr>
        <w:t xml:space="preserve">nancing requirements for </w:t>
      </w:r>
      <w:r w:rsidR="00865C76" w:rsidRPr="001D5AE2">
        <w:rPr>
          <w:rFonts w:ascii="Tahoma" w:hAnsi="Tahoma" w:cs="Tahoma"/>
        </w:rPr>
        <w:t>Kebbi</w:t>
      </w:r>
      <w:r w:rsidR="008325D2" w:rsidRPr="001D5AE2">
        <w:rPr>
          <w:rFonts w:ascii="Tahoma" w:hAnsi="Tahoma" w:cs="Tahoma"/>
        </w:rPr>
        <w:t xml:space="preserve"> State</w:t>
      </w:r>
      <w:r w:rsidR="00684CAE" w:rsidRPr="001D5AE2">
        <w:rPr>
          <w:rFonts w:ascii="Tahoma" w:hAnsi="Tahoma" w:cs="Tahoma"/>
        </w:rPr>
        <w:t>. The</w:t>
      </w:r>
      <w:r w:rsidRPr="001D5AE2">
        <w:rPr>
          <w:rFonts w:ascii="Tahoma" w:hAnsi="Tahoma" w:cs="Tahoma"/>
        </w:rPr>
        <w:t xml:space="preserve"> strategies are shown by the breakdown of funding </w:t>
      </w:r>
      <w:r w:rsidR="000D4DF3" w:rsidRPr="001D5AE2">
        <w:rPr>
          <w:rFonts w:ascii="Tahoma" w:hAnsi="Tahoma" w:cs="Tahoma"/>
        </w:rPr>
        <w:t>mix between</w:t>
      </w:r>
      <w:r w:rsidR="0004138B" w:rsidRPr="001D5AE2">
        <w:rPr>
          <w:rFonts w:ascii="Tahoma" w:hAnsi="Tahoma" w:cs="Tahoma"/>
        </w:rPr>
        <w:t xml:space="preserve"> the </w:t>
      </w:r>
      <w:r w:rsidR="00CE0FF0" w:rsidRPr="001D5AE2">
        <w:rPr>
          <w:rFonts w:ascii="Tahoma" w:hAnsi="Tahoma" w:cs="Tahoma"/>
        </w:rPr>
        <w:t xml:space="preserve">external and </w:t>
      </w:r>
      <w:r w:rsidRPr="001D5AE2">
        <w:rPr>
          <w:rFonts w:ascii="Tahoma" w:hAnsi="Tahoma" w:cs="Tahoma"/>
        </w:rPr>
        <w:t xml:space="preserve">domestic </w:t>
      </w:r>
      <w:r w:rsidR="005125D7" w:rsidRPr="001D5AE2">
        <w:rPr>
          <w:rFonts w:ascii="Tahoma" w:hAnsi="Tahoma" w:cs="Tahoma"/>
        </w:rPr>
        <w:t xml:space="preserve">windows, </w:t>
      </w:r>
      <w:r w:rsidRPr="001D5AE2">
        <w:rPr>
          <w:rFonts w:ascii="Tahoma" w:hAnsi="Tahoma" w:cs="Tahoma"/>
        </w:rPr>
        <w:t xml:space="preserve">within the broad categories of domestic and external, the share of each stylized instrument has also been illustrated. </w:t>
      </w:r>
      <w:r w:rsidR="00822968" w:rsidRPr="001D5AE2">
        <w:rPr>
          <w:rFonts w:ascii="Tahoma" w:hAnsi="Tahoma" w:cs="Tahoma"/>
        </w:rPr>
        <w:t xml:space="preserve">The </w:t>
      </w:r>
      <w:r w:rsidR="00865C76" w:rsidRPr="001D5AE2">
        <w:rPr>
          <w:rFonts w:ascii="Tahoma" w:hAnsi="Tahoma" w:cs="Tahoma"/>
        </w:rPr>
        <w:t>Kebbi</w:t>
      </w:r>
      <w:r w:rsidR="008325D2" w:rsidRPr="001D5AE2">
        <w:rPr>
          <w:rFonts w:ascii="Tahoma" w:hAnsi="Tahoma" w:cs="Tahoma"/>
        </w:rPr>
        <w:t xml:space="preserve"> State</w:t>
      </w:r>
      <w:r w:rsidR="00822968" w:rsidRPr="001D5AE2">
        <w:rPr>
          <w:rFonts w:ascii="Tahoma" w:hAnsi="Tahoma" w:cs="Tahoma"/>
        </w:rPr>
        <w:t>’s Debt Management Strategy, 202</w:t>
      </w:r>
      <w:r w:rsidR="000D4DF3" w:rsidRPr="001D5AE2">
        <w:rPr>
          <w:rFonts w:ascii="Tahoma" w:hAnsi="Tahoma" w:cs="Tahoma"/>
        </w:rPr>
        <w:t>4</w:t>
      </w:r>
      <w:r w:rsidR="00822968" w:rsidRPr="001D5AE2">
        <w:rPr>
          <w:rFonts w:ascii="Tahoma" w:hAnsi="Tahoma" w:cs="Tahoma"/>
        </w:rPr>
        <w:t>-202</w:t>
      </w:r>
      <w:r w:rsidR="000D4DF3" w:rsidRPr="001D5AE2">
        <w:rPr>
          <w:rFonts w:ascii="Tahoma" w:hAnsi="Tahoma" w:cs="Tahoma"/>
        </w:rPr>
        <w:t>8</w:t>
      </w:r>
      <w:r w:rsidR="00822968" w:rsidRPr="001D5AE2">
        <w:rPr>
          <w:rFonts w:ascii="Tahoma" w:hAnsi="Tahoma" w:cs="Tahoma"/>
        </w:rPr>
        <w:t xml:space="preserve">, </w:t>
      </w:r>
      <w:r w:rsidR="00A828A4" w:rsidRPr="001D5AE2">
        <w:rPr>
          <w:rFonts w:ascii="Tahoma" w:hAnsi="Tahoma" w:cs="Tahoma"/>
        </w:rPr>
        <w:t xml:space="preserve">analyses the debt management strategies outcomes of the </w:t>
      </w:r>
      <w:r w:rsidR="00822968" w:rsidRPr="001D5AE2">
        <w:rPr>
          <w:rFonts w:ascii="Tahoma" w:hAnsi="Tahoma" w:cs="Tahoma"/>
        </w:rPr>
        <w:t xml:space="preserve">three debt management performance indicators </w:t>
      </w:r>
      <w:r w:rsidR="00A828A4" w:rsidRPr="001D5AE2">
        <w:rPr>
          <w:rFonts w:ascii="Tahoma" w:hAnsi="Tahoma" w:cs="Tahoma"/>
        </w:rPr>
        <w:t xml:space="preserve">namely </w:t>
      </w:r>
      <w:r w:rsidR="00822968" w:rsidRPr="001D5AE2">
        <w:rPr>
          <w:rFonts w:ascii="Tahoma" w:hAnsi="Tahoma" w:cs="Tahoma"/>
        </w:rPr>
        <w:t>Debt Stock</w:t>
      </w:r>
      <w:r w:rsidR="00A828A4" w:rsidRPr="001D5AE2">
        <w:rPr>
          <w:rFonts w:ascii="Tahoma" w:hAnsi="Tahoma" w:cs="Tahoma"/>
        </w:rPr>
        <w:t xml:space="preserve"> to </w:t>
      </w:r>
      <w:r w:rsidR="00822968" w:rsidRPr="001D5AE2">
        <w:rPr>
          <w:rFonts w:ascii="Tahoma" w:hAnsi="Tahoma" w:cs="Tahoma"/>
        </w:rPr>
        <w:t>Revenue, Debt Services</w:t>
      </w:r>
      <w:r w:rsidR="00A828A4" w:rsidRPr="001D5AE2">
        <w:rPr>
          <w:rFonts w:ascii="Tahoma" w:hAnsi="Tahoma" w:cs="Tahoma"/>
        </w:rPr>
        <w:t xml:space="preserve"> to </w:t>
      </w:r>
      <w:r w:rsidR="00822968" w:rsidRPr="001D5AE2">
        <w:rPr>
          <w:rFonts w:ascii="Tahoma" w:hAnsi="Tahoma" w:cs="Tahoma"/>
        </w:rPr>
        <w:t>Revenue and Interest</w:t>
      </w:r>
      <w:r w:rsidR="00A828A4" w:rsidRPr="001D5AE2">
        <w:rPr>
          <w:rFonts w:ascii="Tahoma" w:hAnsi="Tahoma" w:cs="Tahoma"/>
        </w:rPr>
        <w:t xml:space="preserve"> to </w:t>
      </w:r>
      <w:r w:rsidR="00822968" w:rsidRPr="001D5AE2">
        <w:rPr>
          <w:rFonts w:ascii="Tahoma" w:hAnsi="Tahoma" w:cs="Tahoma"/>
        </w:rPr>
        <w:t>Revenue.</w:t>
      </w:r>
      <w:r w:rsidR="00A828A4" w:rsidRPr="001D5AE2">
        <w:rPr>
          <w:rFonts w:ascii="Tahoma" w:hAnsi="Tahoma" w:cs="Tahoma"/>
        </w:rPr>
        <w:t xml:space="preserve"> </w:t>
      </w:r>
      <w:r w:rsidR="00822968" w:rsidRPr="001D5AE2">
        <w:rPr>
          <w:rFonts w:ascii="Tahoma" w:hAnsi="Tahoma" w:cs="Tahoma"/>
        </w:rPr>
        <w:t>The cost is measured by the expected value of a performance indicator in 202</w:t>
      </w:r>
      <w:r w:rsidR="000D4DF3" w:rsidRPr="001D5AE2">
        <w:rPr>
          <w:rFonts w:ascii="Tahoma" w:hAnsi="Tahoma" w:cs="Tahoma"/>
        </w:rPr>
        <w:t>8</w:t>
      </w:r>
      <w:r w:rsidR="00A828A4" w:rsidRPr="001D5AE2">
        <w:rPr>
          <w:rFonts w:ascii="Tahoma" w:hAnsi="Tahoma" w:cs="Tahoma"/>
        </w:rPr>
        <w:t xml:space="preserve">, </w:t>
      </w:r>
      <w:r w:rsidR="00822968" w:rsidRPr="001D5AE2">
        <w:rPr>
          <w:rFonts w:ascii="Tahoma" w:hAnsi="Tahoma" w:cs="Tahoma"/>
        </w:rPr>
        <w:t xml:space="preserve">as projected in the baseline scenario. Risk is measured by the deviation from the expected value </w:t>
      </w:r>
      <w:r w:rsidR="00EE39C8" w:rsidRPr="001D5AE2">
        <w:rPr>
          <w:rFonts w:ascii="Tahoma" w:hAnsi="Tahoma" w:cs="Tahoma"/>
        </w:rPr>
        <w:t>within the period</w:t>
      </w:r>
      <w:r w:rsidR="00822968" w:rsidRPr="001D5AE2">
        <w:rPr>
          <w:rFonts w:ascii="Tahoma" w:hAnsi="Tahoma" w:cs="Tahoma"/>
        </w:rPr>
        <w:t xml:space="preserve"> caused by an </w:t>
      </w:r>
      <w:r w:rsidR="00684CAE" w:rsidRPr="001D5AE2">
        <w:rPr>
          <w:rFonts w:ascii="Tahoma" w:hAnsi="Tahoma" w:cs="Tahoma"/>
        </w:rPr>
        <w:t>unexpected</w:t>
      </w:r>
      <w:r w:rsidR="00822968" w:rsidRPr="001D5AE2">
        <w:rPr>
          <w:rFonts w:ascii="Tahoma" w:hAnsi="Tahoma" w:cs="Tahoma"/>
        </w:rPr>
        <w:t xml:space="preserve"> shock</w:t>
      </w:r>
      <w:r w:rsidR="00A828A4" w:rsidRPr="001D5AE2">
        <w:rPr>
          <w:rFonts w:ascii="Tahoma" w:hAnsi="Tahoma" w:cs="Tahoma"/>
        </w:rPr>
        <w:t xml:space="preserve">, </w:t>
      </w:r>
      <w:r w:rsidR="00822968" w:rsidRPr="001D5AE2">
        <w:rPr>
          <w:rFonts w:ascii="Tahoma" w:hAnsi="Tahoma" w:cs="Tahoma"/>
        </w:rPr>
        <w:t>as projected in the most adverse scenario.</w:t>
      </w:r>
      <w:r w:rsidR="008325D2" w:rsidRPr="001D5AE2">
        <w:rPr>
          <w:rFonts w:ascii="Tahoma" w:hAnsi="Tahoma" w:cs="Tahoma"/>
        </w:rPr>
        <w:t xml:space="preserve"> </w:t>
      </w:r>
      <w:r w:rsidR="00A043E4" w:rsidRPr="001D5AE2">
        <w:rPr>
          <w:rFonts w:ascii="Tahoma" w:hAnsi="Tahoma" w:cs="Tahoma"/>
        </w:rPr>
        <w:t>The f</w:t>
      </w:r>
      <w:r w:rsidR="008325D2" w:rsidRPr="001D5AE2">
        <w:rPr>
          <w:rFonts w:ascii="Tahoma" w:hAnsi="Tahoma" w:cs="Tahoma"/>
        </w:rPr>
        <w:t>ollowing four strategies are assessed by the government</w:t>
      </w:r>
      <w:r w:rsidR="00A043E4" w:rsidRPr="001D5AE2">
        <w:rPr>
          <w:rFonts w:ascii="Tahoma" w:hAnsi="Tahoma" w:cs="Tahoma"/>
        </w:rPr>
        <w:t>.</w:t>
      </w:r>
    </w:p>
    <w:p w14:paraId="522C4F26" w14:textId="77777777" w:rsidR="00134AAE" w:rsidRPr="001D5AE2" w:rsidRDefault="00134AAE" w:rsidP="003B5227">
      <w:pPr>
        <w:spacing w:after="0" w:line="360" w:lineRule="auto"/>
        <w:rPr>
          <w:rFonts w:ascii="Tahoma" w:hAnsi="Tahoma" w:cs="Tahoma"/>
          <w:b/>
          <w:bCs/>
          <w:color w:val="0070C0"/>
        </w:rPr>
      </w:pPr>
      <w:r w:rsidRPr="001D5AE2">
        <w:rPr>
          <w:rFonts w:ascii="Tahoma" w:hAnsi="Tahoma" w:cs="Tahoma"/>
          <w:b/>
          <w:bCs/>
          <w:color w:val="0070C0"/>
        </w:rPr>
        <w:t>5.1 Alternative Borrowing Options</w:t>
      </w:r>
    </w:p>
    <w:p w14:paraId="324A894D" w14:textId="3F83EF59" w:rsidR="003D1089" w:rsidRPr="001D5AE2" w:rsidRDefault="00A043E4" w:rsidP="003D1089">
      <w:pPr>
        <w:spacing w:line="360" w:lineRule="auto"/>
        <w:jc w:val="both"/>
        <w:rPr>
          <w:rFonts w:ascii="Tahoma" w:hAnsi="Tahoma" w:cs="Tahoma"/>
          <w:b/>
          <w:bCs/>
        </w:rPr>
      </w:pPr>
      <w:r w:rsidRPr="001D5AE2">
        <w:rPr>
          <w:rFonts w:ascii="Tahoma" w:hAnsi="Tahoma" w:cs="Tahoma"/>
          <w:b/>
          <w:bCs/>
        </w:rPr>
        <w:t>Strategy 1 (S1) R</w:t>
      </w:r>
      <w:r w:rsidR="003D1089" w:rsidRPr="001D5AE2">
        <w:rPr>
          <w:rFonts w:ascii="Tahoma" w:hAnsi="Tahoma" w:cs="Tahoma"/>
          <w:b/>
          <w:bCs/>
        </w:rPr>
        <w:t xml:space="preserve">eflects a “status quo” MTEF Financing Mix: </w:t>
      </w:r>
      <w:r w:rsidR="003D1089" w:rsidRPr="001D5AE2">
        <w:rPr>
          <w:rFonts w:ascii="Tahoma" w:hAnsi="Tahoma" w:cs="Tahoma"/>
        </w:rPr>
        <w:t>It follows the broad parameters of the financing mix in the fiscal year 202</w:t>
      </w:r>
      <w:r w:rsidR="00FA0B39" w:rsidRPr="001D5AE2">
        <w:rPr>
          <w:rFonts w:ascii="Tahoma" w:hAnsi="Tahoma" w:cs="Tahoma"/>
        </w:rPr>
        <w:t>3</w:t>
      </w:r>
      <w:r w:rsidR="003D1089" w:rsidRPr="001D5AE2">
        <w:rPr>
          <w:rFonts w:ascii="Tahoma" w:hAnsi="Tahoma" w:cs="Tahoma"/>
        </w:rPr>
        <w:t xml:space="preserve"> and </w:t>
      </w:r>
      <w:r w:rsidR="003E0C40" w:rsidRPr="001D5AE2">
        <w:rPr>
          <w:rFonts w:ascii="Tahoma" w:hAnsi="Tahoma" w:cs="Tahoma"/>
        </w:rPr>
        <w:t xml:space="preserve">MTEF, </w:t>
      </w:r>
      <w:r w:rsidR="003D1089" w:rsidRPr="001D5AE2">
        <w:rPr>
          <w:rFonts w:ascii="Tahoma" w:hAnsi="Tahoma" w:cs="Tahoma"/>
        </w:rPr>
        <w:t>202</w:t>
      </w:r>
      <w:r w:rsidR="00FA0B39" w:rsidRPr="001D5AE2">
        <w:rPr>
          <w:rFonts w:ascii="Tahoma" w:hAnsi="Tahoma" w:cs="Tahoma"/>
        </w:rPr>
        <w:t>3</w:t>
      </w:r>
      <w:r w:rsidR="003D1089" w:rsidRPr="001D5AE2">
        <w:rPr>
          <w:rFonts w:ascii="Tahoma" w:hAnsi="Tahoma" w:cs="Tahoma"/>
        </w:rPr>
        <w:t>-202</w:t>
      </w:r>
      <w:r w:rsidR="00FA0B39" w:rsidRPr="001D5AE2">
        <w:rPr>
          <w:rFonts w:ascii="Tahoma" w:hAnsi="Tahoma" w:cs="Tahoma"/>
        </w:rPr>
        <w:t>5</w:t>
      </w:r>
      <w:r w:rsidR="003D1089" w:rsidRPr="001D5AE2">
        <w:rPr>
          <w:rFonts w:ascii="Tahoma" w:hAnsi="Tahoma" w:cs="Tahoma"/>
        </w:rPr>
        <w:t xml:space="preserve">. External gross borrowing under Concessional loans accounts </w:t>
      </w:r>
      <w:r w:rsidR="00C515B7" w:rsidRPr="001D5AE2">
        <w:rPr>
          <w:rFonts w:ascii="Tahoma" w:hAnsi="Tahoma" w:cs="Tahoma"/>
        </w:rPr>
        <w:t xml:space="preserve">with an </w:t>
      </w:r>
      <w:r w:rsidR="003D1089" w:rsidRPr="001D5AE2">
        <w:rPr>
          <w:rFonts w:ascii="Tahoma" w:hAnsi="Tahoma" w:cs="Tahoma"/>
        </w:rPr>
        <w:t xml:space="preserve">average </w:t>
      </w:r>
      <w:r w:rsidR="00C515B7" w:rsidRPr="001D5AE2">
        <w:rPr>
          <w:rFonts w:ascii="Tahoma" w:hAnsi="Tahoma" w:cs="Tahoma"/>
        </w:rPr>
        <w:t xml:space="preserve">of </w:t>
      </w:r>
      <w:r w:rsidR="00BA5136" w:rsidRPr="001D5AE2">
        <w:rPr>
          <w:rFonts w:ascii="Tahoma" w:hAnsi="Tahoma" w:cs="Tahoma"/>
        </w:rPr>
        <w:t xml:space="preserve">19.08 </w:t>
      </w:r>
      <w:r w:rsidR="007F40A9" w:rsidRPr="001D5AE2">
        <w:rPr>
          <w:rFonts w:ascii="Tahoma" w:hAnsi="Tahoma" w:cs="Tahoma"/>
        </w:rPr>
        <w:t xml:space="preserve">percent </w:t>
      </w:r>
      <w:r w:rsidR="003D1089" w:rsidRPr="001D5AE2">
        <w:rPr>
          <w:rFonts w:ascii="Tahoma" w:hAnsi="Tahoma" w:cs="Tahoma"/>
        </w:rPr>
        <w:t xml:space="preserve">over the strategic period mainly through World Bank and African Development Bank. The Domestic gross financing comprises commercial bank loans, State bonds and other domestic financing. The </w:t>
      </w:r>
      <w:r w:rsidR="003D1089" w:rsidRPr="001D5AE2">
        <w:rPr>
          <w:rFonts w:ascii="Tahoma" w:hAnsi="Tahoma" w:cs="Tahoma"/>
        </w:rPr>
        <w:lastRenderedPageBreak/>
        <w:t xml:space="preserve">Commercial Bank loans with </w:t>
      </w:r>
      <w:r w:rsidR="00684CAE" w:rsidRPr="001D5AE2">
        <w:rPr>
          <w:rFonts w:ascii="Tahoma" w:hAnsi="Tahoma" w:cs="Tahoma"/>
        </w:rPr>
        <w:t>maturity</w:t>
      </w:r>
      <w:r w:rsidR="003D1089" w:rsidRPr="001D5AE2">
        <w:rPr>
          <w:rFonts w:ascii="Tahoma" w:hAnsi="Tahoma" w:cs="Tahoma"/>
        </w:rPr>
        <w:t xml:space="preserve"> of 1-5 years </w:t>
      </w:r>
      <w:r w:rsidR="00FA0B39" w:rsidRPr="001D5AE2">
        <w:rPr>
          <w:rFonts w:ascii="Tahoma" w:hAnsi="Tahoma" w:cs="Tahoma"/>
        </w:rPr>
        <w:t>are</w:t>
      </w:r>
      <w:r w:rsidR="003D1089" w:rsidRPr="001D5AE2">
        <w:rPr>
          <w:rFonts w:ascii="Tahoma" w:hAnsi="Tahoma" w:cs="Tahoma"/>
        </w:rPr>
        <w:t xml:space="preserve"> projected to account on average of </w:t>
      </w:r>
      <w:r w:rsidR="002257CF" w:rsidRPr="001D5AE2">
        <w:rPr>
          <w:rFonts w:ascii="Tahoma" w:hAnsi="Tahoma" w:cs="Tahoma"/>
        </w:rPr>
        <w:t xml:space="preserve">15.80 </w:t>
      </w:r>
      <w:r w:rsidR="003D1089" w:rsidRPr="001D5AE2">
        <w:rPr>
          <w:rFonts w:ascii="Tahoma" w:hAnsi="Tahoma" w:cs="Tahoma"/>
        </w:rPr>
        <w:t>percent over the strategic period</w:t>
      </w:r>
      <w:r w:rsidR="00EB6473" w:rsidRPr="001D5AE2">
        <w:rPr>
          <w:rFonts w:ascii="Tahoma" w:hAnsi="Tahoma" w:cs="Tahoma"/>
        </w:rPr>
        <w:t xml:space="preserve">, </w:t>
      </w:r>
      <w:r w:rsidR="003E0C40" w:rsidRPr="001D5AE2">
        <w:rPr>
          <w:rFonts w:ascii="Tahoma" w:hAnsi="Tahoma" w:cs="Tahoma"/>
        </w:rPr>
        <w:t>State Bonds (1-5 years)</w:t>
      </w:r>
      <w:r w:rsidR="00184120" w:rsidRPr="001D5AE2">
        <w:rPr>
          <w:rFonts w:ascii="Tahoma" w:hAnsi="Tahoma" w:cs="Tahoma"/>
        </w:rPr>
        <w:t xml:space="preserve">, </w:t>
      </w:r>
      <w:r w:rsidR="00786EDF" w:rsidRPr="001D5AE2">
        <w:rPr>
          <w:rFonts w:ascii="Tahoma" w:hAnsi="Tahoma" w:cs="Tahoma"/>
        </w:rPr>
        <w:t xml:space="preserve">State Bonds (above </w:t>
      </w:r>
      <w:r w:rsidR="002C6F36" w:rsidRPr="001D5AE2">
        <w:rPr>
          <w:rFonts w:ascii="Tahoma" w:hAnsi="Tahoma" w:cs="Tahoma"/>
        </w:rPr>
        <w:t xml:space="preserve">6 years) </w:t>
      </w:r>
      <w:r w:rsidR="00136232" w:rsidRPr="001D5AE2">
        <w:rPr>
          <w:rFonts w:ascii="Tahoma" w:hAnsi="Tahoma" w:cs="Tahoma"/>
        </w:rPr>
        <w:t xml:space="preserve">and </w:t>
      </w:r>
      <w:r w:rsidR="002C6F36" w:rsidRPr="001D5AE2">
        <w:rPr>
          <w:rFonts w:ascii="Tahoma" w:hAnsi="Tahoma" w:cs="Tahoma"/>
        </w:rPr>
        <w:t xml:space="preserve">Other Domestic </w:t>
      </w:r>
      <w:r w:rsidR="005A22A6" w:rsidRPr="001D5AE2">
        <w:rPr>
          <w:rFonts w:ascii="Tahoma" w:hAnsi="Tahoma" w:cs="Tahoma"/>
        </w:rPr>
        <w:t xml:space="preserve">Financing are </w:t>
      </w:r>
      <w:r w:rsidR="003D1089" w:rsidRPr="001D5AE2">
        <w:rPr>
          <w:rFonts w:ascii="Tahoma" w:hAnsi="Tahoma" w:cs="Tahoma"/>
        </w:rPr>
        <w:t xml:space="preserve">estimated with an average of </w:t>
      </w:r>
      <w:r w:rsidR="001806DA" w:rsidRPr="001D5AE2">
        <w:rPr>
          <w:rFonts w:ascii="Tahoma" w:hAnsi="Tahoma" w:cs="Tahoma"/>
        </w:rPr>
        <w:t xml:space="preserve">12.12 </w:t>
      </w:r>
      <w:r w:rsidR="00184120" w:rsidRPr="001D5AE2">
        <w:rPr>
          <w:rFonts w:ascii="Tahoma" w:hAnsi="Tahoma" w:cs="Tahoma"/>
        </w:rPr>
        <w:t xml:space="preserve">percent, </w:t>
      </w:r>
      <w:r w:rsidR="001806DA" w:rsidRPr="001D5AE2">
        <w:rPr>
          <w:rFonts w:ascii="Tahoma" w:hAnsi="Tahoma" w:cs="Tahoma"/>
        </w:rPr>
        <w:t xml:space="preserve">10.68 </w:t>
      </w:r>
      <w:r w:rsidR="00184120" w:rsidRPr="001D5AE2">
        <w:rPr>
          <w:rFonts w:ascii="Tahoma" w:hAnsi="Tahoma" w:cs="Tahoma"/>
        </w:rPr>
        <w:t xml:space="preserve">percent, </w:t>
      </w:r>
      <w:r w:rsidR="00C95841" w:rsidRPr="001D5AE2">
        <w:rPr>
          <w:rFonts w:ascii="Tahoma" w:hAnsi="Tahoma" w:cs="Tahoma"/>
        </w:rPr>
        <w:t xml:space="preserve">and </w:t>
      </w:r>
      <w:r w:rsidR="00F555B6" w:rsidRPr="001D5AE2">
        <w:rPr>
          <w:rFonts w:ascii="Tahoma" w:hAnsi="Tahoma" w:cs="Tahoma"/>
        </w:rPr>
        <w:t xml:space="preserve">42.31 </w:t>
      </w:r>
      <w:bookmarkStart w:id="6" w:name="_Hlk84025743"/>
      <w:r w:rsidR="00F555B6" w:rsidRPr="001D5AE2">
        <w:rPr>
          <w:rFonts w:ascii="Tahoma" w:hAnsi="Tahoma" w:cs="Tahoma"/>
        </w:rPr>
        <w:t xml:space="preserve">percent </w:t>
      </w:r>
      <w:r w:rsidR="003D1089" w:rsidRPr="001D5AE2">
        <w:rPr>
          <w:rFonts w:ascii="Tahoma" w:hAnsi="Tahoma" w:cs="Tahoma"/>
        </w:rPr>
        <w:t>over the DMS period of 202</w:t>
      </w:r>
      <w:r w:rsidR="00F555B6" w:rsidRPr="001D5AE2">
        <w:rPr>
          <w:rFonts w:ascii="Tahoma" w:hAnsi="Tahoma" w:cs="Tahoma"/>
        </w:rPr>
        <w:t>4</w:t>
      </w:r>
      <w:r w:rsidR="003D1089" w:rsidRPr="001D5AE2">
        <w:rPr>
          <w:rFonts w:ascii="Tahoma" w:hAnsi="Tahoma" w:cs="Tahoma"/>
        </w:rPr>
        <w:t>-202</w:t>
      </w:r>
      <w:bookmarkEnd w:id="6"/>
      <w:r w:rsidR="00F555B6" w:rsidRPr="001D5AE2">
        <w:rPr>
          <w:rFonts w:ascii="Tahoma" w:hAnsi="Tahoma" w:cs="Tahoma"/>
        </w:rPr>
        <w:t>8</w:t>
      </w:r>
      <w:r w:rsidR="003D1089" w:rsidRPr="001D5AE2">
        <w:rPr>
          <w:rFonts w:ascii="Tahoma" w:hAnsi="Tahoma" w:cs="Tahoma"/>
        </w:rPr>
        <w:t>.</w:t>
      </w:r>
    </w:p>
    <w:p w14:paraId="580AAFEB" w14:textId="7556CE27" w:rsidR="00ED4DBB" w:rsidRPr="001D5AE2" w:rsidRDefault="00134AAE" w:rsidP="00ED4DBB">
      <w:pPr>
        <w:spacing w:line="360" w:lineRule="auto"/>
        <w:jc w:val="both"/>
        <w:rPr>
          <w:rFonts w:ascii="Tahoma" w:hAnsi="Tahoma" w:cs="Tahoma"/>
          <w:color w:val="FF0000"/>
        </w:rPr>
      </w:pPr>
      <w:r w:rsidRPr="001D5AE2">
        <w:rPr>
          <w:rFonts w:ascii="Tahoma" w:hAnsi="Tahoma" w:cs="Tahoma"/>
          <w:b/>
          <w:bCs/>
        </w:rPr>
        <w:t>S</w:t>
      </w:r>
      <w:r w:rsidR="003D7DC9" w:rsidRPr="001D5AE2">
        <w:rPr>
          <w:rFonts w:ascii="Tahoma" w:hAnsi="Tahoma" w:cs="Tahoma"/>
          <w:b/>
          <w:bCs/>
        </w:rPr>
        <w:t xml:space="preserve">trategy </w:t>
      </w:r>
      <w:r w:rsidRPr="001D5AE2">
        <w:rPr>
          <w:rFonts w:ascii="Tahoma" w:hAnsi="Tahoma" w:cs="Tahoma"/>
          <w:b/>
          <w:bCs/>
        </w:rPr>
        <w:t xml:space="preserve">2 </w:t>
      </w:r>
      <w:r w:rsidR="003D7DC9" w:rsidRPr="001D5AE2">
        <w:rPr>
          <w:rFonts w:ascii="Tahoma" w:hAnsi="Tahoma" w:cs="Tahoma"/>
          <w:b/>
          <w:bCs/>
        </w:rPr>
        <w:t xml:space="preserve">(S2) </w:t>
      </w:r>
      <w:r w:rsidR="00A043E4" w:rsidRPr="001D5AE2">
        <w:rPr>
          <w:rFonts w:ascii="Tahoma" w:hAnsi="Tahoma" w:cs="Tahoma"/>
          <w:b/>
          <w:bCs/>
        </w:rPr>
        <w:t>F</w:t>
      </w:r>
      <w:r w:rsidR="00633C90" w:rsidRPr="001D5AE2">
        <w:rPr>
          <w:rFonts w:ascii="Tahoma" w:hAnsi="Tahoma" w:cs="Tahoma"/>
          <w:b/>
          <w:bCs/>
        </w:rPr>
        <w:t xml:space="preserve">ocus more </w:t>
      </w:r>
      <w:r w:rsidR="00A043E4" w:rsidRPr="001D5AE2">
        <w:rPr>
          <w:rFonts w:ascii="Tahoma" w:hAnsi="Tahoma" w:cs="Tahoma"/>
          <w:b/>
          <w:bCs/>
        </w:rPr>
        <w:t xml:space="preserve">on </w:t>
      </w:r>
      <w:r w:rsidR="00EC4D4C" w:rsidRPr="001D5AE2">
        <w:rPr>
          <w:rFonts w:ascii="Tahoma" w:hAnsi="Tahoma" w:cs="Tahoma"/>
          <w:b/>
          <w:bCs/>
        </w:rPr>
        <w:t xml:space="preserve">financing through </w:t>
      </w:r>
      <w:r w:rsidR="00633C90" w:rsidRPr="001D5AE2">
        <w:rPr>
          <w:rFonts w:ascii="Tahoma" w:hAnsi="Tahoma" w:cs="Tahoma"/>
          <w:b/>
          <w:bCs/>
        </w:rPr>
        <w:t>commercial bank loans:</w:t>
      </w:r>
      <w:r w:rsidR="00ED4DBB" w:rsidRPr="001D5AE2">
        <w:rPr>
          <w:rFonts w:ascii="Tahoma" w:hAnsi="Tahoma" w:cs="Tahoma"/>
        </w:rPr>
        <w:t xml:space="preserve"> </w:t>
      </w:r>
      <w:bookmarkStart w:id="7" w:name="_Hlk83478609"/>
      <w:r w:rsidR="00ED4DBB" w:rsidRPr="001D5AE2">
        <w:rPr>
          <w:rFonts w:ascii="Tahoma" w:hAnsi="Tahoma" w:cs="Tahoma"/>
        </w:rPr>
        <w:t xml:space="preserve">In this strategy it has been assumed the </w:t>
      </w:r>
      <w:r w:rsidR="00D16E34" w:rsidRPr="001D5AE2">
        <w:rPr>
          <w:rFonts w:ascii="Tahoma" w:hAnsi="Tahoma" w:cs="Tahoma"/>
        </w:rPr>
        <w:t xml:space="preserve">distribution </w:t>
      </w:r>
      <w:r w:rsidR="00ED4DBB" w:rsidRPr="001D5AE2">
        <w:rPr>
          <w:rFonts w:ascii="Tahoma" w:hAnsi="Tahoma" w:cs="Tahoma"/>
        </w:rPr>
        <w:t>between external and domestic borrowing remains the same in 202</w:t>
      </w:r>
      <w:r w:rsidR="00C51C43" w:rsidRPr="001D5AE2">
        <w:rPr>
          <w:rFonts w:ascii="Tahoma" w:hAnsi="Tahoma" w:cs="Tahoma"/>
        </w:rPr>
        <w:t>3</w:t>
      </w:r>
      <w:r w:rsidR="00ED4DBB" w:rsidRPr="001D5AE2">
        <w:rPr>
          <w:rFonts w:ascii="Tahoma" w:hAnsi="Tahoma" w:cs="Tahoma"/>
        </w:rPr>
        <w:t xml:space="preserve"> as</w:t>
      </w:r>
      <w:r w:rsidR="001E08EA" w:rsidRPr="001D5AE2">
        <w:rPr>
          <w:rFonts w:ascii="Tahoma" w:hAnsi="Tahoma" w:cs="Tahoma"/>
        </w:rPr>
        <w:t xml:space="preserve"> its in </w:t>
      </w:r>
      <w:r w:rsidR="00ED4DBB" w:rsidRPr="001D5AE2">
        <w:rPr>
          <w:rFonts w:ascii="Tahoma" w:hAnsi="Tahoma" w:cs="Tahoma"/>
        </w:rPr>
        <w:t>strategy 1</w:t>
      </w:r>
      <w:bookmarkEnd w:id="7"/>
      <w:r w:rsidR="001E08EA" w:rsidRPr="001D5AE2">
        <w:rPr>
          <w:rFonts w:ascii="Tahoma" w:hAnsi="Tahoma" w:cs="Tahoma"/>
        </w:rPr>
        <w:t xml:space="preserve">. </w:t>
      </w:r>
      <w:r w:rsidR="00C51C43" w:rsidRPr="001D5AE2">
        <w:rPr>
          <w:rFonts w:ascii="Tahoma" w:hAnsi="Tahoma" w:cs="Tahoma"/>
        </w:rPr>
        <w:t>With the</w:t>
      </w:r>
      <w:r w:rsidR="001E08EA" w:rsidRPr="001D5AE2">
        <w:rPr>
          <w:rFonts w:ascii="Tahoma" w:hAnsi="Tahoma" w:cs="Tahoma"/>
        </w:rPr>
        <w:t xml:space="preserve"> </w:t>
      </w:r>
      <w:r w:rsidR="00C51C43" w:rsidRPr="001D5AE2">
        <w:rPr>
          <w:rFonts w:ascii="Tahoma" w:hAnsi="Tahoma" w:cs="Tahoma"/>
        </w:rPr>
        <w:t>remaining</w:t>
      </w:r>
      <w:r w:rsidR="001E08EA" w:rsidRPr="001D5AE2">
        <w:rPr>
          <w:rFonts w:ascii="Tahoma" w:hAnsi="Tahoma" w:cs="Tahoma"/>
        </w:rPr>
        <w:t xml:space="preserve"> borrowing distributions from 202</w:t>
      </w:r>
      <w:r w:rsidR="0025076B" w:rsidRPr="001D5AE2">
        <w:rPr>
          <w:rFonts w:ascii="Tahoma" w:hAnsi="Tahoma" w:cs="Tahoma"/>
        </w:rPr>
        <w:t>4</w:t>
      </w:r>
      <w:r w:rsidR="001E08EA" w:rsidRPr="001D5AE2">
        <w:rPr>
          <w:rFonts w:ascii="Tahoma" w:hAnsi="Tahoma" w:cs="Tahoma"/>
        </w:rPr>
        <w:t xml:space="preserve"> to 20</w:t>
      </w:r>
      <w:r w:rsidR="00A765D8" w:rsidRPr="001D5AE2">
        <w:rPr>
          <w:rFonts w:ascii="Tahoma" w:hAnsi="Tahoma" w:cs="Tahoma"/>
        </w:rPr>
        <w:t>2</w:t>
      </w:r>
      <w:r w:rsidR="0025076B" w:rsidRPr="001D5AE2">
        <w:rPr>
          <w:rFonts w:ascii="Tahoma" w:hAnsi="Tahoma" w:cs="Tahoma"/>
        </w:rPr>
        <w:t>7</w:t>
      </w:r>
      <w:r w:rsidR="001E08EA" w:rsidRPr="001D5AE2">
        <w:rPr>
          <w:rFonts w:ascii="Tahoma" w:hAnsi="Tahoma" w:cs="Tahoma"/>
        </w:rPr>
        <w:t xml:space="preserve">, the </w:t>
      </w:r>
      <w:r w:rsidR="00DB1906" w:rsidRPr="001D5AE2">
        <w:rPr>
          <w:rFonts w:ascii="Tahoma" w:hAnsi="Tahoma" w:cs="Tahoma"/>
        </w:rPr>
        <w:t xml:space="preserve">state </w:t>
      </w:r>
      <w:r w:rsidR="00ED4DBB" w:rsidRPr="001D5AE2">
        <w:rPr>
          <w:rFonts w:ascii="Tahoma" w:hAnsi="Tahoma" w:cs="Tahoma"/>
        </w:rPr>
        <w:t xml:space="preserve">government will focus its financing through commercial bank loans </w:t>
      </w:r>
      <w:r w:rsidR="00722E9F" w:rsidRPr="001D5AE2">
        <w:rPr>
          <w:rFonts w:ascii="Tahoma" w:hAnsi="Tahoma" w:cs="Tahoma"/>
        </w:rPr>
        <w:t xml:space="preserve">with average </w:t>
      </w:r>
      <w:r w:rsidR="00727623" w:rsidRPr="001D5AE2">
        <w:rPr>
          <w:rFonts w:ascii="Tahoma" w:hAnsi="Tahoma" w:cs="Tahoma"/>
        </w:rPr>
        <w:t xml:space="preserve">57.16 </w:t>
      </w:r>
      <w:r w:rsidR="006E3ACD" w:rsidRPr="001D5AE2">
        <w:rPr>
          <w:rFonts w:ascii="Tahoma" w:hAnsi="Tahoma" w:cs="Tahoma"/>
        </w:rPr>
        <w:t>percent under maturity of 1-5 years</w:t>
      </w:r>
      <w:r w:rsidR="00184120" w:rsidRPr="001D5AE2">
        <w:rPr>
          <w:rFonts w:ascii="Tahoma" w:hAnsi="Tahoma" w:cs="Tahoma"/>
        </w:rPr>
        <w:t xml:space="preserve">, </w:t>
      </w:r>
      <w:r w:rsidR="00D70EF5" w:rsidRPr="001D5AE2">
        <w:rPr>
          <w:rFonts w:ascii="Tahoma" w:hAnsi="Tahoma" w:cs="Tahoma"/>
        </w:rPr>
        <w:t>State Bonds under maturity of 1-5 years with an average of 1</w:t>
      </w:r>
      <w:r w:rsidR="00F47D01" w:rsidRPr="001D5AE2">
        <w:rPr>
          <w:rFonts w:ascii="Tahoma" w:hAnsi="Tahoma" w:cs="Tahoma"/>
        </w:rPr>
        <w:t xml:space="preserve">3.77 </w:t>
      </w:r>
      <w:r w:rsidR="00D70EF5" w:rsidRPr="001D5AE2">
        <w:rPr>
          <w:rFonts w:ascii="Tahoma" w:hAnsi="Tahoma" w:cs="Tahoma"/>
        </w:rPr>
        <w:t>percent</w:t>
      </w:r>
      <w:r w:rsidR="00F47D01" w:rsidRPr="001D5AE2">
        <w:rPr>
          <w:rFonts w:ascii="Tahoma" w:hAnsi="Tahoma" w:cs="Tahoma"/>
        </w:rPr>
        <w:t>, Other Domestic Finan</w:t>
      </w:r>
      <w:r w:rsidR="00DA4CC5" w:rsidRPr="001D5AE2">
        <w:rPr>
          <w:rFonts w:ascii="Tahoma" w:hAnsi="Tahoma" w:cs="Tahoma"/>
        </w:rPr>
        <w:t>cing with an average of 21.71 percent</w:t>
      </w:r>
      <w:r w:rsidR="00D70EF5" w:rsidRPr="001D5AE2">
        <w:rPr>
          <w:rFonts w:ascii="Tahoma" w:hAnsi="Tahoma" w:cs="Tahoma"/>
        </w:rPr>
        <w:t xml:space="preserve"> and </w:t>
      </w:r>
      <w:r w:rsidR="00DB1906" w:rsidRPr="001D5AE2">
        <w:rPr>
          <w:rFonts w:ascii="Tahoma" w:hAnsi="Tahoma" w:cs="Tahoma"/>
        </w:rPr>
        <w:t xml:space="preserve">other </w:t>
      </w:r>
      <w:r w:rsidR="00260941" w:rsidRPr="001D5AE2">
        <w:rPr>
          <w:rFonts w:ascii="Tahoma" w:hAnsi="Tahoma" w:cs="Tahoma"/>
        </w:rPr>
        <w:t xml:space="preserve">gross </w:t>
      </w:r>
      <w:r w:rsidR="00DB1906" w:rsidRPr="001D5AE2">
        <w:rPr>
          <w:rFonts w:ascii="Tahoma" w:hAnsi="Tahoma" w:cs="Tahoma"/>
        </w:rPr>
        <w:t>f</w:t>
      </w:r>
      <w:r w:rsidR="00722E9F" w:rsidRPr="001D5AE2">
        <w:rPr>
          <w:rFonts w:ascii="Tahoma" w:hAnsi="Tahoma" w:cs="Tahoma"/>
        </w:rPr>
        <w:t>inancing</w:t>
      </w:r>
      <w:r w:rsidR="000B73C5" w:rsidRPr="001D5AE2">
        <w:rPr>
          <w:rFonts w:ascii="Tahoma" w:hAnsi="Tahoma" w:cs="Tahoma"/>
        </w:rPr>
        <w:t xml:space="preserve"> needs </w:t>
      </w:r>
      <w:r w:rsidR="00722E9F" w:rsidRPr="001D5AE2">
        <w:rPr>
          <w:rFonts w:ascii="Tahoma" w:hAnsi="Tahoma" w:cs="Tahoma"/>
        </w:rPr>
        <w:t xml:space="preserve">through </w:t>
      </w:r>
      <w:r w:rsidR="00AC337F" w:rsidRPr="001D5AE2">
        <w:rPr>
          <w:rFonts w:ascii="Tahoma" w:hAnsi="Tahoma" w:cs="Tahoma"/>
        </w:rPr>
        <w:t xml:space="preserve">external financing </w:t>
      </w:r>
      <w:r w:rsidR="00DF4EB2" w:rsidRPr="001D5AE2">
        <w:rPr>
          <w:rFonts w:ascii="Tahoma" w:hAnsi="Tahoma" w:cs="Tahoma"/>
        </w:rPr>
        <w:t>from C</w:t>
      </w:r>
      <w:r w:rsidR="00AC337F" w:rsidRPr="001D5AE2">
        <w:rPr>
          <w:rFonts w:ascii="Tahoma" w:hAnsi="Tahoma" w:cs="Tahoma"/>
        </w:rPr>
        <w:t xml:space="preserve">oncessional </w:t>
      </w:r>
      <w:r w:rsidR="00DF4EB2" w:rsidRPr="001D5AE2">
        <w:rPr>
          <w:rFonts w:ascii="Tahoma" w:hAnsi="Tahoma" w:cs="Tahoma"/>
        </w:rPr>
        <w:t>and Bilateral L</w:t>
      </w:r>
      <w:r w:rsidR="00AC337F" w:rsidRPr="001D5AE2">
        <w:rPr>
          <w:rFonts w:ascii="Tahoma" w:hAnsi="Tahoma" w:cs="Tahoma"/>
        </w:rPr>
        <w:t>oans</w:t>
      </w:r>
      <w:r w:rsidR="00DF4EB2" w:rsidRPr="001D5AE2">
        <w:rPr>
          <w:rFonts w:ascii="Tahoma" w:hAnsi="Tahoma" w:cs="Tahoma"/>
        </w:rPr>
        <w:t xml:space="preserve"> </w:t>
      </w:r>
      <w:r w:rsidR="00AC337F" w:rsidRPr="001D5AE2">
        <w:rPr>
          <w:rFonts w:ascii="Tahoma" w:hAnsi="Tahoma" w:cs="Tahoma"/>
        </w:rPr>
        <w:t xml:space="preserve">which </w:t>
      </w:r>
      <w:r w:rsidR="00722E9F" w:rsidRPr="001D5AE2">
        <w:rPr>
          <w:rFonts w:ascii="Tahoma" w:hAnsi="Tahoma" w:cs="Tahoma"/>
        </w:rPr>
        <w:t xml:space="preserve">estimated to account </w:t>
      </w:r>
      <w:r w:rsidR="00003DD9" w:rsidRPr="001D5AE2">
        <w:rPr>
          <w:rFonts w:ascii="Tahoma" w:hAnsi="Tahoma" w:cs="Tahoma"/>
        </w:rPr>
        <w:t xml:space="preserve">for 3.64 percent and 3.72 percent averagely </w:t>
      </w:r>
      <w:r w:rsidR="003C19CA" w:rsidRPr="001D5AE2">
        <w:rPr>
          <w:rFonts w:ascii="Tahoma" w:hAnsi="Tahoma" w:cs="Tahoma"/>
        </w:rPr>
        <w:t>over the period</w:t>
      </w:r>
      <w:r w:rsidR="00722E9F" w:rsidRPr="001D5AE2">
        <w:rPr>
          <w:rFonts w:ascii="Tahoma" w:hAnsi="Tahoma" w:cs="Tahoma"/>
        </w:rPr>
        <w:t>.</w:t>
      </w:r>
    </w:p>
    <w:p w14:paraId="01D923BC" w14:textId="747B8AB0" w:rsidR="00A765D8" w:rsidRPr="001D5AE2" w:rsidRDefault="00EC4D4C" w:rsidP="0046008D">
      <w:pPr>
        <w:spacing w:line="360" w:lineRule="auto"/>
        <w:jc w:val="both"/>
        <w:rPr>
          <w:rFonts w:ascii="Tahoma" w:hAnsi="Tahoma" w:cs="Tahoma"/>
        </w:rPr>
      </w:pPr>
      <w:r w:rsidRPr="001D5AE2">
        <w:rPr>
          <w:rFonts w:ascii="Tahoma" w:hAnsi="Tahoma" w:cs="Tahoma"/>
          <w:b/>
          <w:bCs/>
        </w:rPr>
        <w:t>S</w:t>
      </w:r>
      <w:r w:rsidR="003D7DC9" w:rsidRPr="001D5AE2">
        <w:rPr>
          <w:rFonts w:ascii="Tahoma" w:hAnsi="Tahoma" w:cs="Tahoma"/>
          <w:b/>
          <w:bCs/>
        </w:rPr>
        <w:t xml:space="preserve">trategy (S3) </w:t>
      </w:r>
      <w:r w:rsidR="00A043E4" w:rsidRPr="001D5AE2">
        <w:rPr>
          <w:rFonts w:ascii="Tahoma" w:hAnsi="Tahoma" w:cs="Tahoma"/>
          <w:b/>
          <w:bCs/>
        </w:rPr>
        <w:t>F</w:t>
      </w:r>
      <w:r w:rsidR="009152F9" w:rsidRPr="001D5AE2">
        <w:rPr>
          <w:rFonts w:ascii="Tahoma" w:hAnsi="Tahoma" w:cs="Tahoma"/>
          <w:b/>
          <w:bCs/>
        </w:rPr>
        <w:t>ocus its financing through domestic debt market</w:t>
      </w:r>
      <w:r w:rsidR="003D7DC9" w:rsidRPr="001D5AE2">
        <w:rPr>
          <w:rFonts w:ascii="Tahoma" w:hAnsi="Tahoma" w:cs="Tahoma"/>
        </w:rPr>
        <w:t xml:space="preserve">. </w:t>
      </w:r>
      <w:r w:rsidR="002845F1" w:rsidRPr="001D5AE2">
        <w:rPr>
          <w:rFonts w:ascii="Tahoma" w:hAnsi="Tahoma" w:cs="Tahoma"/>
        </w:rPr>
        <w:t>In strategy 3, the government decided to focus its financing from 202</w:t>
      </w:r>
      <w:r w:rsidR="00552A66" w:rsidRPr="001D5AE2">
        <w:rPr>
          <w:rFonts w:ascii="Tahoma" w:hAnsi="Tahoma" w:cs="Tahoma"/>
        </w:rPr>
        <w:t>4</w:t>
      </w:r>
      <w:r w:rsidR="002845F1" w:rsidRPr="001D5AE2">
        <w:rPr>
          <w:rFonts w:ascii="Tahoma" w:hAnsi="Tahoma" w:cs="Tahoma"/>
        </w:rPr>
        <w:t xml:space="preserve"> to 20</w:t>
      </w:r>
      <w:r w:rsidR="00A765D8" w:rsidRPr="001D5AE2">
        <w:rPr>
          <w:rFonts w:ascii="Tahoma" w:hAnsi="Tahoma" w:cs="Tahoma"/>
        </w:rPr>
        <w:t>2</w:t>
      </w:r>
      <w:r w:rsidR="00552A66" w:rsidRPr="001D5AE2">
        <w:rPr>
          <w:rFonts w:ascii="Tahoma" w:hAnsi="Tahoma" w:cs="Tahoma"/>
        </w:rPr>
        <w:t>8</w:t>
      </w:r>
      <w:r w:rsidR="0004651A" w:rsidRPr="001D5AE2">
        <w:rPr>
          <w:rFonts w:ascii="Tahoma" w:hAnsi="Tahoma" w:cs="Tahoma"/>
        </w:rPr>
        <w:t>, through</w:t>
      </w:r>
      <w:r w:rsidR="00AC337F" w:rsidRPr="001D5AE2">
        <w:rPr>
          <w:rFonts w:ascii="Tahoma" w:hAnsi="Tahoma" w:cs="Tahoma"/>
        </w:rPr>
        <w:t xml:space="preserve"> </w:t>
      </w:r>
      <w:r w:rsidR="00A765D8" w:rsidRPr="001D5AE2">
        <w:rPr>
          <w:rFonts w:ascii="Tahoma" w:hAnsi="Tahoma" w:cs="Tahoma"/>
        </w:rPr>
        <w:t xml:space="preserve">Commercial Bank loans (1-5 years), </w:t>
      </w:r>
      <w:r w:rsidR="00AC337F" w:rsidRPr="001D5AE2">
        <w:rPr>
          <w:rFonts w:ascii="Tahoma" w:hAnsi="Tahoma" w:cs="Tahoma"/>
        </w:rPr>
        <w:t>State Bonds (1-5 years)</w:t>
      </w:r>
      <w:r w:rsidR="00571BCA" w:rsidRPr="001D5AE2">
        <w:rPr>
          <w:rFonts w:ascii="Tahoma" w:hAnsi="Tahoma" w:cs="Tahoma"/>
        </w:rPr>
        <w:t xml:space="preserve">, </w:t>
      </w:r>
      <w:r w:rsidR="00604144" w:rsidRPr="001D5AE2">
        <w:rPr>
          <w:rFonts w:ascii="Tahoma" w:hAnsi="Tahoma" w:cs="Tahoma"/>
        </w:rPr>
        <w:t>State Bonds (above 6 years)</w:t>
      </w:r>
      <w:r w:rsidR="00DA3D2E" w:rsidRPr="001D5AE2">
        <w:rPr>
          <w:rFonts w:ascii="Tahoma" w:hAnsi="Tahoma" w:cs="Tahoma"/>
        </w:rPr>
        <w:t xml:space="preserve">, </w:t>
      </w:r>
      <w:r w:rsidR="00116F43" w:rsidRPr="001D5AE2">
        <w:rPr>
          <w:rFonts w:ascii="Tahoma" w:hAnsi="Tahoma" w:cs="Tahoma"/>
        </w:rPr>
        <w:t xml:space="preserve">Other Domestic Financing, </w:t>
      </w:r>
      <w:r w:rsidR="00DA3D2E" w:rsidRPr="001D5AE2">
        <w:rPr>
          <w:rFonts w:ascii="Tahoma" w:hAnsi="Tahoma" w:cs="Tahoma"/>
        </w:rPr>
        <w:t xml:space="preserve">and </w:t>
      </w:r>
      <w:r w:rsidR="00A765D8" w:rsidRPr="001D5AE2">
        <w:rPr>
          <w:rFonts w:ascii="Tahoma" w:hAnsi="Tahoma" w:cs="Tahoma"/>
        </w:rPr>
        <w:t>Concessional Loans</w:t>
      </w:r>
      <w:r w:rsidR="00DA3D2E" w:rsidRPr="001D5AE2">
        <w:rPr>
          <w:rFonts w:ascii="Tahoma" w:hAnsi="Tahoma" w:cs="Tahoma"/>
        </w:rPr>
        <w:t xml:space="preserve"> </w:t>
      </w:r>
      <w:r w:rsidR="0004651A" w:rsidRPr="001D5AE2">
        <w:rPr>
          <w:rFonts w:ascii="Tahoma" w:hAnsi="Tahoma" w:cs="Tahoma"/>
        </w:rPr>
        <w:t xml:space="preserve">with an average of </w:t>
      </w:r>
      <w:r w:rsidR="00DA3D2E" w:rsidRPr="001D5AE2">
        <w:rPr>
          <w:rFonts w:ascii="Tahoma" w:hAnsi="Tahoma" w:cs="Tahoma"/>
        </w:rPr>
        <w:t xml:space="preserve">38.18 percent, </w:t>
      </w:r>
      <w:r w:rsidR="004970C5" w:rsidRPr="001D5AE2">
        <w:rPr>
          <w:rFonts w:ascii="Tahoma" w:hAnsi="Tahoma" w:cs="Tahoma"/>
        </w:rPr>
        <w:t xml:space="preserve">9.04 percent, 26.07 percent, 16.25 percent and </w:t>
      </w:r>
      <w:r w:rsidR="00CE554C" w:rsidRPr="001D5AE2">
        <w:rPr>
          <w:rFonts w:ascii="Tahoma" w:hAnsi="Tahoma" w:cs="Tahoma"/>
        </w:rPr>
        <w:t xml:space="preserve">10.25 percent </w:t>
      </w:r>
      <w:r w:rsidR="005A2256" w:rsidRPr="001D5AE2">
        <w:rPr>
          <w:rFonts w:ascii="Tahoma" w:hAnsi="Tahoma" w:cs="Tahoma"/>
        </w:rPr>
        <w:t>respectively.</w:t>
      </w:r>
      <w:r w:rsidR="0072237A" w:rsidRPr="001D5AE2">
        <w:rPr>
          <w:rFonts w:ascii="Tahoma" w:hAnsi="Tahoma" w:cs="Tahoma"/>
        </w:rPr>
        <w:t xml:space="preserve"> </w:t>
      </w:r>
      <w:r w:rsidR="00A765D8" w:rsidRPr="001D5AE2">
        <w:rPr>
          <w:rFonts w:ascii="Tahoma" w:hAnsi="Tahoma" w:cs="Tahoma"/>
        </w:rPr>
        <w:t>This strategy considers the scenario where proportions of external and domestic debt instruments in 202</w:t>
      </w:r>
      <w:r w:rsidR="00244FE7" w:rsidRPr="001D5AE2">
        <w:rPr>
          <w:rFonts w:ascii="Tahoma" w:hAnsi="Tahoma" w:cs="Tahoma"/>
        </w:rPr>
        <w:t>3</w:t>
      </w:r>
      <w:r w:rsidR="00A765D8" w:rsidRPr="001D5AE2">
        <w:rPr>
          <w:rFonts w:ascii="Tahoma" w:hAnsi="Tahoma" w:cs="Tahoma"/>
        </w:rPr>
        <w:t xml:space="preserve"> </w:t>
      </w:r>
      <w:r w:rsidR="00244FE7" w:rsidRPr="001D5AE2">
        <w:rPr>
          <w:rFonts w:ascii="Tahoma" w:hAnsi="Tahoma" w:cs="Tahoma"/>
        </w:rPr>
        <w:t>remain</w:t>
      </w:r>
      <w:r w:rsidR="00A765D8" w:rsidRPr="001D5AE2">
        <w:rPr>
          <w:rFonts w:ascii="Tahoma" w:hAnsi="Tahoma" w:cs="Tahoma"/>
        </w:rPr>
        <w:t xml:space="preserve"> the same with strategy 1.</w:t>
      </w:r>
    </w:p>
    <w:p w14:paraId="380B1D7E" w14:textId="118BA562" w:rsidR="0004651A" w:rsidRPr="001D5AE2" w:rsidRDefault="009152F9" w:rsidP="000F194C">
      <w:pPr>
        <w:spacing w:line="360" w:lineRule="auto"/>
        <w:jc w:val="both"/>
        <w:rPr>
          <w:rFonts w:ascii="Tahoma" w:hAnsi="Tahoma" w:cs="Tahoma"/>
        </w:rPr>
      </w:pPr>
      <w:r w:rsidRPr="001D5AE2">
        <w:rPr>
          <w:rFonts w:ascii="Tahoma" w:hAnsi="Tahoma" w:cs="Tahoma"/>
          <w:b/>
          <w:bCs/>
        </w:rPr>
        <w:t>S</w:t>
      </w:r>
      <w:r w:rsidR="003D7DC9" w:rsidRPr="001D5AE2">
        <w:rPr>
          <w:rFonts w:ascii="Tahoma" w:hAnsi="Tahoma" w:cs="Tahoma"/>
          <w:b/>
          <w:bCs/>
        </w:rPr>
        <w:t xml:space="preserve">trategy (S4) increases the share of </w:t>
      </w:r>
      <w:r w:rsidR="00D22090" w:rsidRPr="001D5AE2">
        <w:rPr>
          <w:rFonts w:ascii="Tahoma" w:hAnsi="Tahoma" w:cs="Tahoma"/>
          <w:b/>
          <w:bCs/>
        </w:rPr>
        <w:t xml:space="preserve">external </w:t>
      </w:r>
      <w:r w:rsidR="003D7DC9" w:rsidRPr="001D5AE2">
        <w:rPr>
          <w:rFonts w:ascii="Tahoma" w:hAnsi="Tahoma" w:cs="Tahoma"/>
          <w:b/>
          <w:bCs/>
        </w:rPr>
        <w:t>borrowing.</w:t>
      </w:r>
      <w:r w:rsidR="003D7DC9" w:rsidRPr="001D5AE2">
        <w:rPr>
          <w:rFonts w:ascii="Tahoma" w:hAnsi="Tahoma" w:cs="Tahoma"/>
        </w:rPr>
        <w:t xml:space="preserve"> In this strategy, </w:t>
      </w:r>
      <w:r w:rsidR="00D22090" w:rsidRPr="001D5AE2">
        <w:rPr>
          <w:rFonts w:ascii="Tahoma" w:hAnsi="Tahoma" w:cs="Tahoma"/>
        </w:rPr>
        <w:t xml:space="preserve">External Financing (Concessional Loans) </w:t>
      </w:r>
      <w:r w:rsidR="003D7DC9" w:rsidRPr="001D5AE2">
        <w:rPr>
          <w:rFonts w:ascii="Tahoma" w:hAnsi="Tahoma" w:cs="Tahoma"/>
        </w:rPr>
        <w:t xml:space="preserve">represents </w:t>
      </w:r>
      <w:r w:rsidR="00D22090" w:rsidRPr="001D5AE2">
        <w:rPr>
          <w:rFonts w:ascii="Tahoma" w:hAnsi="Tahoma" w:cs="Tahoma"/>
        </w:rPr>
        <w:t xml:space="preserve">an average of </w:t>
      </w:r>
      <w:r w:rsidR="00582066" w:rsidRPr="001D5AE2">
        <w:rPr>
          <w:rFonts w:ascii="Tahoma" w:hAnsi="Tahoma" w:cs="Tahoma"/>
        </w:rPr>
        <w:t xml:space="preserve">25.38 </w:t>
      </w:r>
      <w:r w:rsidR="00D22090" w:rsidRPr="001D5AE2">
        <w:rPr>
          <w:rFonts w:ascii="Tahoma" w:hAnsi="Tahoma" w:cs="Tahoma"/>
        </w:rPr>
        <w:t>percent from 202</w:t>
      </w:r>
      <w:r w:rsidR="00582066" w:rsidRPr="001D5AE2">
        <w:rPr>
          <w:rFonts w:ascii="Tahoma" w:hAnsi="Tahoma" w:cs="Tahoma"/>
        </w:rPr>
        <w:t>4</w:t>
      </w:r>
      <w:r w:rsidR="00D22090" w:rsidRPr="001D5AE2">
        <w:rPr>
          <w:rFonts w:ascii="Tahoma" w:hAnsi="Tahoma" w:cs="Tahoma"/>
        </w:rPr>
        <w:t>-202</w:t>
      </w:r>
      <w:r w:rsidR="00582066" w:rsidRPr="001D5AE2">
        <w:rPr>
          <w:rFonts w:ascii="Tahoma" w:hAnsi="Tahoma" w:cs="Tahoma"/>
        </w:rPr>
        <w:t>8</w:t>
      </w:r>
      <w:r w:rsidR="00D22090" w:rsidRPr="001D5AE2">
        <w:rPr>
          <w:rFonts w:ascii="Tahoma" w:hAnsi="Tahoma" w:cs="Tahoma"/>
        </w:rPr>
        <w:t xml:space="preserve">, Bilateral loans </w:t>
      </w:r>
      <w:r w:rsidR="00582066" w:rsidRPr="001D5AE2">
        <w:rPr>
          <w:rFonts w:ascii="Tahoma" w:hAnsi="Tahoma" w:cs="Tahoma"/>
        </w:rPr>
        <w:t xml:space="preserve">5.07 </w:t>
      </w:r>
      <w:r w:rsidR="00D22090" w:rsidRPr="001D5AE2">
        <w:rPr>
          <w:rFonts w:ascii="Tahoma" w:hAnsi="Tahoma" w:cs="Tahoma"/>
        </w:rPr>
        <w:t xml:space="preserve">percent, other </w:t>
      </w:r>
      <w:r w:rsidR="0069258B" w:rsidRPr="001D5AE2">
        <w:rPr>
          <w:rFonts w:ascii="Tahoma" w:hAnsi="Tahoma" w:cs="Tahoma"/>
        </w:rPr>
        <w:t xml:space="preserve">gross financing comprises other </w:t>
      </w:r>
      <w:r w:rsidR="00D22090" w:rsidRPr="001D5AE2">
        <w:rPr>
          <w:rFonts w:ascii="Tahoma" w:hAnsi="Tahoma" w:cs="Tahoma"/>
        </w:rPr>
        <w:t>Domestic financing</w:t>
      </w:r>
      <w:r w:rsidR="0069258B" w:rsidRPr="001D5AE2">
        <w:rPr>
          <w:rFonts w:ascii="Tahoma" w:hAnsi="Tahoma" w:cs="Tahoma"/>
        </w:rPr>
        <w:t xml:space="preserve">, </w:t>
      </w:r>
      <w:r w:rsidR="00D22090" w:rsidRPr="001D5AE2">
        <w:rPr>
          <w:rFonts w:ascii="Tahoma" w:hAnsi="Tahoma" w:cs="Tahoma"/>
        </w:rPr>
        <w:t>Commercial bank loans (1-5 years)</w:t>
      </w:r>
      <w:r w:rsidR="004A2E52" w:rsidRPr="001D5AE2">
        <w:rPr>
          <w:rFonts w:ascii="Tahoma" w:hAnsi="Tahoma" w:cs="Tahoma"/>
        </w:rPr>
        <w:t xml:space="preserve">, State Bonds (1-5 years), </w:t>
      </w:r>
      <w:r w:rsidR="0069258B" w:rsidRPr="001D5AE2">
        <w:rPr>
          <w:rFonts w:ascii="Tahoma" w:hAnsi="Tahoma" w:cs="Tahoma"/>
        </w:rPr>
        <w:t xml:space="preserve">and </w:t>
      </w:r>
      <w:r w:rsidR="001719AA" w:rsidRPr="001D5AE2">
        <w:rPr>
          <w:rFonts w:ascii="Tahoma" w:hAnsi="Tahoma" w:cs="Tahoma"/>
        </w:rPr>
        <w:t xml:space="preserve">Other Domestic Financing </w:t>
      </w:r>
      <w:r w:rsidR="0063756C" w:rsidRPr="001D5AE2">
        <w:rPr>
          <w:rFonts w:ascii="Tahoma" w:hAnsi="Tahoma" w:cs="Tahoma"/>
        </w:rPr>
        <w:t xml:space="preserve">which was estimated to finance the </w:t>
      </w:r>
      <w:r w:rsidR="00B07EEF" w:rsidRPr="001D5AE2">
        <w:rPr>
          <w:rFonts w:ascii="Tahoma" w:hAnsi="Tahoma" w:cs="Tahoma"/>
        </w:rPr>
        <w:t xml:space="preserve">financing need </w:t>
      </w:r>
      <w:r w:rsidR="0069258B" w:rsidRPr="001D5AE2">
        <w:rPr>
          <w:rFonts w:ascii="Tahoma" w:hAnsi="Tahoma" w:cs="Tahoma"/>
        </w:rPr>
        <w:t xml:space="preserve">with </w:t>
      </w:r>
      <w:r w:rsidR="00244FE7" w:rsidRPr="001D5AE2">
        <w:rPr>
          <w:rFonts w:ascii="Tahoma" w:hAnsi="Tahoma" w:cs="Tahoma"/>
        </w:rPr>
        <w:t>an average</w:t>
      </w:r>
      <w:r w:rsidR="0069258B" w:rsidRPr="001D5AE2">
        <w:rPr>
          <w:rFonts w:ascii="Tahoma" w:hAnsi="Tahoma" w:cs="Tahoma"/>
        </w:rPr>
        <w:t xml:space="preserve"> period of </w:t>
      </w:r>
      <w:r w:rsidR="007E1E82" w:rsidRPr="001D5AE2">
        <w:rPr>
          <w:rFonts w:ascii="Tahoma" w:hAnsi="Tahoma" w:cs="Tahoma"/>
        </w:rPr>
        <w:t>51.39 percent, 7.90 percent, 10.26 percent</w:t>
      </w:r>
      <w:r w:rsidR="00FD27C9" w:rsidRPr="001D5AE2">
        <w:rPr>
          <w:rFonts w:ascii="Tahoma" w:hAnsi="Tahoma" w:cs="Tahoma"/>
        </w:rPr>
        <w:t xml:space="preserve"> over the period</w:t>
      </w:r>
      <w:r w:rsidR="000F194C" w:rsidRPr="001D5AE2">
        <w:rPr>
          <w:rFonts w:ascii="Tahoma" w:hAnsi="Tahoma" w:cs="Tahoma"/>
        </w:rPr>
        <w:t>.</w:t>
      </w:r>
    </w:p>
    <w:p w14:paraId="775937A1" w14:textId="6C7E2FAC" w:rsidR="007B7AF1" w:rsidRPr="001D5AE2" w:rsidRDefault="007B7AF1" w:rsidP="003B5227">
      <w:pPr>
        <w:spacing w:after="0" w:line="360" w:lineRule="auto"/>
        <w:rPr>
          <w:rFonts w:ascii="Tahoma" w:hAnsi="Tahoma" w:cs="Tahoma"/>
          <w:b/>
          <w:bCs/>
          <w:color w:val="0070C0"/>
        </w:rPr>
      </w:pPr>
      <w:bookmarkStart w:id="8" w:name="_Toc79503958"/>
      <w:r w:rsidRPr="001D5AE2">
        <w:rPr>
          <w:rFonts w:ascii="Tahoma" w:hAnsi="Tahoma" w:cs="Tahoma"/>
          <w:b/>
          <w:bCs/>
          <w:color w:val="0070C0"/>
        </w:rPr>
        <w:t>5.</w:t>
      </w:r>
      <w:r w:rsidR="000F194C" w:rsidRPr="001D5AE2">
        <w:rPr>
          <w:rFonts w:ascii="Tahoma" w:hAnsi="Tahoma" w:cs="Tahoma"/>
          <w:b/>
          <w:bCs/>
          <w:color w:val="0070C0"/>
        </w:rPr>
        <w:t>2</w:t>
      </w:r>
      <w:r w:rsidRPr="001D5AE2">
        <w:rPr>
          <w:rFonts w:ascii="Tahoma" w:hAnsi="Tahoma" w:cs="Tahoma"/>
          <w:b/>
          <w:bCs/>
          <w:color w:val="0070C0"/>
        </w:rPr>
        <w:t xml:space="preserve"> </w:t>
      </w:r>
      <w:bookmarkEnd w:id="8"/>
      <w:r w:rsidR="000F194C" w:rsidRPr="001D5AE2">
        <w:rPr>
          <w:rFonts w:ascii="Tahoma" w:hAnsi="Tahoma" w:cs="Tahoma"/>
          <w:b/>
          <w:bCs/>
          <w:color w:val="0070C0"/>
        </w:rPr>
        <w:t>DMS Simulation Results</w:t>
      </w:r>
    </w:p>
    <w:p w14:paraId="08944E6E" w14:textId="1B3030A9" w:rsidR="003D7DC9" w:rsidRPr="001D5AE2" w:rsidRDefault="003D7DC9" w:rsidP="003D7DC9">
      <w:pPr>
        <w:spacing w:after="0" w:line="360" w:lineRule="auto"/>
        <w:jc w:val="both"/>
        <w:rPr>
          <w:rFonts w:ascii="Tahoma" w:hAnsi="Tahoma" w:cs="Tahoma"/>
        </w:rPr>
      </w:pPr>
      <w:r w:rsidRPr="001D5AE2">
        <w:rPr>
          <w:rFonts w:ascii="Tahoma" w:hAnsi="Tahoma" w:cs="Tahoma"/>
        </w:rPr>
        <w:t>Analysis of strategies &amp; outcomes of the analysis</w:t>
      </w:r>
      <w:r w:rsidR="00BF7621" w:rsidRPr="001D5AE2">
        <w:rPr>
          <w:rFonts w:ascii="Tahoma" w:hAnsi="Tahoma" w:cs="Tahoma"/>
        </w:rPr>
        <w:t>.</w:t>
      </w:r>
      <w:r w:rsidRPr="001D5AE2">
        <w:rPr>
          <w:rFonts w:ascii="Tahoma" w:hAnsi="Tahoma" w:cs="Tahoma"/>
        </w:rPr>
        <w:t xml:space="preserve"> The cost risk trade off charts </w:t>
      </w:r>
      <w:r w:rsidR="00244FE7" w:rsidRPr="001D5AE2">
        <w:rPr>
          <w:rFonts w:ascii="Tahoma" w:hAnsi="Tahoma" w:cs="Tahoma"/>
        </w:rPr>
        <w:t>illustrates</w:t>
      </w:r>
      <w:r w:rsidRPr="001D5AE2">
        <w:rPr>
          <w:rFonts w:ascii="Tahoma" w:hAnsi="Tahoma" w:cs="Tahoma"/>
        </w:rPr>
        <w:t xml:space="preserve"> the performance of the alternative strategies with respect to four debt burden indicators.</w:t>
      </w:r>
    </w:p>
    <w:p w14:paraId="616A1D70" w14:textId="002C2659" w:rsidR="0092288A" w:rsidRPr="001D5AE2" w:rsidRDefault="0092288A" w:rsidP="003D7DC9">
      <w:pPr>
        <w:pStyle w:val="ListParagraph"/>
        <w:numPr>
          <w:ilvl w:val="0"/>
          <w:numId w:val="28"/>
        </w:numPr>
        <w:spacing w:after="0" w:line="360" w:lineRule="auto"/>
        <w:ind w:left="426" w:hanging="426"/>
        <w:jc w:val="both"/>
        <w:rPr>
          <w:rFonts w:ascii="Tahoma" w:eastAsiaTheme="minorHAnsi" w:hAnsi="Tahoma" w:cs="Tahoma"/>
          <w:b/>
          <w:bCs/>
          <w:sz w:val="22"/>
          <w:szCs w:val="22"/>
        </w:rPr>
      </w:pPr>
      <w:r w:rsidRPr="001D5AE2">
        <w:rPr>
          <w:rFonts w:ascii="Tahoma" w:eastAsiaTheme="minorHAnsi" w:hAnsi="Tahoma" w:cs="Tahoma"/>
          <w:b/>
          <w:bCs/>
          <w:sz w:val="22"/>
          <w:szCs w:val="22"/>
        </w:rPr>
        <w:t xml:space="preserve">Debt </w:t>
      </w:r>
      <w:r w:rsidR="00936E2B" w:rsidRPr="001D5AE2">
        <w:rPr>
          <w:rFonts w:ascii="Tahoma" w:eastAsiaTheme="minorHAnsi" w:hAnsi="Tahoma" w:cs="Tahoma"/>
          <w:b/>
          <w:bCs/>
          <w:sz w:val="22"/>
          <w:szCs w:val="22"/>
        </w:rPr>
        <w:t>as a share Revenue</w:t>
      </w:r>
      <w:r w:rsidRPr="001D5AE2">
        <w:rPr>
          <w:rFonts w:ascii="Tahoma" w:eastAsiaTheme="minorHAnsi" w:hAnsi="Tahoma" w:cs="Tahoma"/>
          <w:b/>
          <w:bCs/>
          <w:sz w:val="22"/>
          <w:szCs w:val="22"/>
        </w:rPr>
        <w:t xml:space="preserve">: </w:t>
      </w:r>
    </w:p>
    <w:p w14:paraId="5AC17EFE" w14:textId="7B17EA38" w:rsidR="00442EEA" w:rsidRPr="001D5AE2" w:rsidRDefault="00442EEA" w:rsidP="00442EEA">
      <w:pPr>
        <w:pStyle w:val="ListParagraph"/>
        <w:numPr>
          <w:ilvl w:val="0"/>
          <w:numId w:val="31"/>
        </w:numPr>
        <w:spacing w:line="360" w:lineRule="auto"/>
        <w:ind w:left="709"/>
        <w:jc w:val="both"/>
        <w:rPr>
          <w:rFonts w:ascii="Tahoma" w:eastAsiaTheme="minorHAnsi" w:hAnsi="Tahoma" w:cs="Tahoma"/>
          <w:sz w:val="22"/>
          <w:szCs w:val="22"/>
        </w:rPr>
      </w:pPr>
      <w:r w:rsidRPr="001D5AE2">
        <w:rPr>
          <w:rFonts w:ascii="Tahoma" w:eastAsiaTheme="minorHAnsi" w:hAnsi="Tahoma" w:cs="Tahoma"/>
          <w:sz w:val="22"/>
          <w:szCs w:val="22"/>
        </w:rPr>
        <w:t xml:space="preserve">Strategy </w:t>
      </w:r>
      <w:r w:rsidR="00B3186F" w:rsidRPr="001D5AE2">
        <w:rPr>
          <w:rFonts w:ascii="Tahoma" w:eastAsiaTheme="minorHAnsi" w:hAnsi="Tahoma" w:cs="Tahoma"/>
          <w:sz w:val="22"/>
          <w:szCs w:val="22"/>
        </w:rPr>
        <w:t>1</w:t>
      </w:r>
      <w:r w:rsidRPr="001D5AE2">
        <w:rPr>
          <w:rFonts w:ascii="Tahoma" w:eastAsiaTheme="minorHAnsi" w:hAnsi="Tahoma" w:cs="Tahoma"/>
          <w:sz w:val="22"/>
          <w:szCs w:val="22"/>
        </w:rPr>
        <w:t xml:space="preserve"> shows </w:t>
      </w:r>
      <w:r w:rsidR="00B3186F" w:rsidRPr="001D5AE2">
        <w:rPr>
          <w:rFonts w:ascii="Tahoma" w:eastAsiaTheme="minorHAnsi" w:hAnsi="Tahoma" w:cs="Tahoma"/>
          <w:sz w:val="22"/>
          <w:szCs w:val="22"/>
        </w:rPr>
        <w:t xml:space="preserve">that, </w:t>
      </w:r>
      <w:r w:rsidRPr="001D5AE2">
        <w:rPr>
          <w:rFonts w:ascii="Tahoma" w:eastAsiaTheme="minorHAnsi" w:hAnsi="Tahoma" w:cs="Tahoma"/>
          <w:sz w:val="22"/>
          <w:szCs w:val="22"/>
        </w:rPr>
        <w:t xml:space="preserve">the Cost ratio of Debt to Revenue </w:t>
      </w:r>
      <w:r w:rsidR="00B3186F" w:rsidRPr="001D5AE2">
        <w:rPr>
          <w:rFonts w:ascii="Tahoma" w:eastAsiaTheme="minorHAnsi" w:hAnsi="Tahoma" w:cs="Tahoma"/>
          <w:sz w:val="22"/>
          <w:szCs w:val="22"/>
        </w:rPr>
        <w:t xml:space="preserve">projected at </w:t>
      </w:r>
      <w:r w:rsidR="008F0B72" w:rsidRPr="001D5AE2">
        <w:rPr>
          <w:rFonts w:ascii="Tahoma" w:eastAsiaTheme="minorHAnsi" w:hAnsi="Tahoma" w:cs="Tahoma"/>
          <w:sz w:val="22"/>
          <w:szCs w:val="22"/>
        </w:rPr>
        <w:t>72</w:t>
      </w:r>
      <w:r w:rsidR="00E31AEE" w:rsidRPr="001D5AE2">
        <w:rPr>
          <w:rFonts w:ascii="Tahoma" w:eastAsiaTheme="minorHAnsi" w:hAnsi="Tahoma" w:cs="Tahoma"/>
          <w:sz w:val="22"/>
          <w:szCs w:val="22"/>
        </w:rPr>
        <w:t xml:space="preserve">.62 </w:t>
      </w:r>
      <w:r w:rsidRPr="001D5AE2">
        <w:rPr>
          <w:rFonts w:ascii="Tahoma" w:eastAsiaTheme="minorHAnsi" w:hAnsi="Tahoma" w:cs="Tahoma"/>
          <w:sz w:val="22"/>
          <w:szCs w:val="22"/>
        </w:rPr>
        <w:t>percent in 20</w:t>
      </w:r>
      <w:r w:rsidR="00B3186F" w:rsidRPr="001D5AE2">
        <w:rPr>
          <w:rFonts w:ascii="Tahoma" w:eastAsiaTheme="minorHAnsi" w:hAnsi="Tahoma" w:cs="Tahoma"/>
          <w:sz w:val="22"/>
          <w:szCs w:val="22"/>
        </w:rPr>
        <w:t>2</w:t>
      </w:r>
      <w:r w:rsidR="00E31AEE" w:rsidRPr="001D5AE2">
        <w:rPr>
          <w:rFonts w:ascii="Tahoma" w:eastAsiaTheme="minorHAnsi" w:hAnsi="Tahoma" w:cs="Tahoma"/>
          <w:sz w:val="22"/>
          <w:szCs w:val="22"/>
        </w:rPr>
        <w:t>8</w:t>
      </w:r>
      <w:r w:rsidRPr="001D5AE2">
        <w:rPr>
          <w:rFonts w:ascii="Tahoma" w:eastAsiaTheme="minorHAnsi" w:hAnsi="Tahoma" w:cs="Tahoma"/>
          <w:sz w:val="22"/>
          <w:szCs w:val="22"/>
        </w:rPr>
        <w:t xml:space="preserve">, as against Strategy </w:t>
      </w:r>
      <w:r w:rsidR="00B3186F" w:rsidRPr="001D5AE2">
        <w:rPr>
          <w:rFonts w:ascii="Tahoma" w:eastAsiaTheme="minorHAnsi" w:hAnsi="Tahoma" w:cs="Tahoma"/>
          <w:sz w:val="22"/>
          <w:szCs w:val="22"/>
        </w:rPr>
        <w:t>2</w:t>
      </w:r>
      <w:r w:rsidRPr="001D5AE2">
        <w:rPr>
          <w:rFonts w:ascii="Tahoma" w:eastAsiaTheme="minorHAnsi" w:hAnsi="Tahoma" w:cs="Tahoma"/>
          <w:sz w:val="22"/>
          <w:szCs w:val="22"/>
        </w:rPr>
        <w:t xml:space="preserve"> (</w:t>
      </w:r>
      <w:r w:rsidR="00E31AEE" w:rsidRPr="001D5AE2">
        <w:rPr>
          <w:rFonts w:ascii="Tahoma" w:eastAsiaTheme="minorHAnsi" w:hAnsi="Tahoma" w:cs="Tahoma"/>
          <w:sz w:val="22"/>
          <w:szCs w:val="22"/>
        </w:rPr>
        <w:t xml:space="preserve">83.51 </w:t>
      </w:r>
      <w:r w:rsidRPr="001D5AE2">
        <w:rPr>
          <w:rFonts w:ascii="Tahoma" w:eastAsiaTheme="minorHAnsi" w:hAnsi="Tahoma" w:cs="Tahoma"/>
          <w:sz w:val="22"/>
          <w:szCs w:val="22"/>
        </w:rPr>
        <w:t xml:space="preserve">percent), Strategy </w:t>
      </w:r>
      <w:r w:rsidR="00B3186F" w:rsidRPr="001D5AE2">
        <w:rPr>
          <w:rFonts w:ascii="Tahoma" w:eastAsiaTheme="minorHAnsi" w:hAnsi="Tahoma" w:cs="Tahoma"/>
          <w:sz w:val="22"/>
          <w:szCs w:val="22"/>
        </w:rPr>
        <w:t>3</w:t>
      </w:r>
      <w:r w:rsidRPr="001D5AE2">
        <w:rPr>
          <w:rFonts w:ascii="Tahoma" w:eastAsiaTheme="minorHAnsi" w:hAnsi="Tahoma" w:cs="Tahoma"/>
          <w:sz w:val="22"/>
          <w:szCs w:val="22"/>
        </w:rPr>
        <w:t xml:space="preserve"> (</w:t>
      </w:r>
      <w:r w:rsidR="004F4A0C" w:rsidRPr="001D5AE2">
        <w:rPr>
          <w:rFonts w:ascii="Tahoma" w:eastAsiaTheme="minorHAnsi" w:hAnsi="Tahoma" w:cs="Tahoma"/>
          <w:sz w:val="22"/>
          <w:szCs w:val="22"/>
        </w:rPr>
        <w:t xml:space="preserve">79.35 </w:t>
      </w:r>
      <w:r w:rsidRPr="001D5AE2">
        <w:rPr>
          <w:rFonts w:ascii="Tahoma" w:eastAsiaTheme="minorHAnsi" w:hAnsi="Tahoma" w:cs="Tahoma"/>
          <w:sz w:val="22"/>
          <w:szCs w:val="22"/>
        </w:rPr>
        <w:t xml:space="preserve">percent) and Strategy </w:t>
      </w:r>
      <w:r w:rsidR="00B3186F" w:rsidRPr="001D5AE2">
        <w:rPr>
          <w:rFonts w:ascii="Tahoma" w:eastAsiaTheme="minorHAnsi" w:hAnsi="Tahoma" w:cs="Tahoma"/>
          <w:sz w:val="22"/>
          <w:szCs w:val="22"/>
        </w:rPr>
        <w:t>4</w:t>
      </w:r>
      <w:r w:rsidRPr="001D5AE2">
        <w:rPr>
          <w:rFonts w:ascii="Tahoma" w:eastAsiaTheme="minorHAnsi" w:hAnsi="Tahoma" w:cs="Tahoma"/>
          <w:sz w:val="22"/>
          <w:szCs w:val="22"/>
        </w:rPr>
        <w:t xml:space="preserve"> (</w:t>
      </w:r>
      <w:r w:rsidR="004F4A0C" w:rsidRPr="001D5AE2">
        <w:rPr>
          <w:rFonts w:ascii="Tahoma" w:eastAsiaTheme="minorHAnsi" w:hAnsi="Tahoma" w:cs="Tahoma"/>
          <w:sz w:val="22"/>
          <w:szCs w:val="22"/>
        </w:rPr>
        <w:t xml:space="preserve">77.32 </w:t>
      </w:r>
      <w:r w:rsidRPr="001D5AE2">
        <w:rPr>
          <w:rFonts w:ascii="Tahoma" w:eastAsiaTheme="minorHAnsi" w:hAnsi="Tahoma" w:cs="Tahoma"/>
          <w:sz w:val="22"/>
          <w:szCs w:val="22"/>
        </w:rPr>
        <w:t xml:space="preserve">percent), over the </w:t>
      </w:r>
      <w:r w:rsidR="008D77DE" w:rsidRPr="001D5AE2">
        <w:rPr>
          <w:rFonts w:ascii="Tahoma" w:eastAsiaTheme="minorHAnsi" w:hAnsi="Tahoma" w:cs="Tahoma"/>
          <w:sz w:val="22"/>
          <w:szCs w:val="22"/>
        </w:rPr>
        <w:t xml:space="preserve">strategic </w:t>
      </w:r>
      <w:r w:rsidRPr="001D5AE2">
        <w:rPr>
          <w:rFonts w:ascii="Tahoma" w:eastAsiaTheme="minorHAnsi" w:hAnsi="Tahoma" w:cs="Tahoma"/>
          <w:sz w:val="22"/>
          <w:szCs w:val="22"/>
        </w:rPr>
        <w:t xml:space="preserve">period, compared with the Risks </w:t>
      </w:r>
      <w:r w:rsidR="00B3186F" w:rsidRPr="001D5AE2">
        <w:rPr>
          <w:rFonts w:ascii="Tahoma" w:eastAsiaTheme="minorHAnsi" w:hAnsi="Tahoma" w:cs="Tahoma"/>
          <w:sz w:val="22"/>
          <w:szCs w:val="22"/>
        </w:rPr>
        <w:t xml:space="preserve">which was </w:t>
      </w:r>
      <w:r w:rsidRPr="001D5AE2">
        <w:rPr>
          <w:rFonts w:ascii="Tahoma" w:eastAsiaTheme="minorHAnsi" w:hAnsi="Tahoma" w:cs="Tahoma"/>
          <w:sz w:val="22"/>
          <w:szCs w:val="22"/>
        </w:rPr>
        <w:t xml:space="preserve">measured </w:t>
      </w:r>
      <w:r w:rsidR="00B3186F" w:rsidRPr="001D5AE2">
        <w:rPr>
          <w:rFonts w:ascii="Tahoma" w:eastAsiaTheme="minorHAnsi" w:hAnsi="Tahoma" w:cs="Tahoma"/>
          <w:sz w:val="22"/>
          <w:szCs w:val="22"/>
        </w:rPr>
        <w:lastRenderedPageBreak/>
        <w:t>Strategy 1 (</w:t>
      </w:r>
      <w:r w:rsidR="00F30E78" w:rsidRPr="001D5AE2">
        <w:rPr>
          <w:rFonts w:ascii="Tahoma" w:eastAsiaTheme="minorHAnsi" w:hAnsi="Tahoma" w:cs="Tahoma"/>
          <w:sz w:val="22"/>
          <w:szCs w:val="22"/>
        </w:rPr>
        <w:t xml:space="preserve">153.83 </w:t>
      </w:r>
      <w:r w:rsidR="00B3186F" w:rsidRPr="001D5AE2">
        <w:rPr>
          <w:rFonts w:ascii="Tahoma" w:eastAsiaTheme="minorHAnsi" w:hAnsi="Tahoma" w:cs="Tahoma"/>
          <w:sz w:val="22"/>
          <w:szCs w:val="22"/>
        </w:rPr>
        <w:t>percent</w:t>
      </w:r>
      <w:r w:rsidRPr="001D5AE2">
        <w:rPr>
          <w:rFonts w:ascii="Tahoma" w:eastAsiaTheme="minorHAnsi" w:hAnsi="Tahoma" w:cs="Tahoma"/>
          <w:sz w:val="22"/>
          <w:szCs w:val="22"/>
        </w:rPr>
        <w:t xml:space="preserve">), Strategy </w:t>
      </w:r>
      <w:r w:rsidR="00B3186F" w:rsidRPr="001D5AE2">
        <w:rPr>
          <w:rFonts w:ascii="Tahoma" w:eastAsiaTheme="minorHAnsi" w:hAnsi="Tahoma" w:cs="Tahoma"/>
          <w:sz w:val="22"/>
          <w:szCs w:val="22"/>
        </w:rPr>
        <w:t>2</w:t>
      </w:r>
      <w:r w:rsidRPr="001D5AE2">
        <w:rPr>
          <w:rFonts w:ascii="Tahoma" w:eastAsiaTheme="minorHAnsi" w:hAnsi="Tahoma" w:cs="Tahoma"/>
          <w:sz w:val="22"/>
          <w:szCs w:val="22"/>
        </w:rPr>
        <w:t xml:space="preserve"> (</w:t>
      </w:r>
      <w:r w:rsidR="00FA5A1D" w:rsidRPr="001D5AE2">
        <w:rPr>
          <w:rFonts w:ascii="Tahoma" w:eastAsiaTheme="minorHAnsi" w:hAnsi="Tahoma" w:cs="Tahoma"/>
          <w:sz w:val="22"/>
          <w:szCs w:val="22"/>
        </w:rPr>
        <w:t xml:space="preserve">150.92 </w:t>
      </w:r>
      <w:r w:rsidRPr="001D5AE2">
        <w:rPr>
          <w:rFonts w:ascii="Tahoma" w:eastAsiaTheme="minorHAnsi" w:hAnsi="Tahoma" w:cs="Tahoma"/>
          <w:sz w:val="22"/>
          <w:szCs w:val="22"/>
        </w:rPr>
        <w:t xml:space="preserve">percent), Strategy </w:t>
      </w:r>
      <w:r w:rsidR="00B3186F" w:rsidRPr="001D5AE2">
        <w:rPr>
          <w:rFonts w:ascii="Tahoma" w:eastAsiaTheme="minorHAnsi" w:hAnsi="Tahoma" w:cs="Tahoma"/>
          <w:sz w:val="22"/>
          <w:szCs w:val="22"/>
        </w:rPr>
        <w:t>3</w:t>
      </w:r>
      <w:r w:rsidRPr="001D5AE2">
        <w:rPr>
          <w:rFonts w:ascii="Tahoma" w:eastAsiaTheme="minorHAnsi" w:hAnsi="Tahoma" w:cs="Tahoma"/>
          <w:sz w:val="22"/>
          <w:szCs w:val="22"/>
        </w:rPr>
        <w:t xml:space="preserve"> (</w:t>
      </w:r>
      <w:r w:rsidR="00FA5A1D" w:rsidRPr="001D5AE2">
        <w:rPr>
          <w:rFonts w:ascii="Tahoma" w:eastAsiaTheme="minorHAnsi" w:hAnsi="Tahoma" w:cs="Tahoma"/>
          <w:sz w:val="22"/>
          <w:szCs w:val="22"/>
        </w:rPr>
        <w:t xml:space="preserve">152.03 </w:t>
      </w:r>
      <w:r w:rsidRPr="001D5AE2">
        <w:rPr>
          <w:rFonts w:ascii="Tahoma" w:eastAsiaTheme="minorHAnsi" w:hAnsi="Tahoma" w:cs="Tahoma"/>
          <w:sz w:val="22"/>
          <w:szCs w:val="22"/>
        </w:rPr>
        <w:t xml:space="preserve">percent) and Strategy </w:t>
      </w:r>
      <w:r w:rsidR="00B3186F" w:rsidRPr="001D5AE2">
        <w:rPr>
          <w:rFonts w:ascii="Tahoma" w:eastAsiaTheme="minorHAnsi" w:hAnsi="Tahoma" w:cs="Tahoma"/>
          <w:sz w:val="22"/>
          <w:szCs w:val="22"/>
        </w:rPr>
        <w:t>4</w:t>
      </w:r>
      <w:r w:rsidRPr="001D5AE2">
        <w:rPr>
          <w:rFonts w:ascii="Tahoma" w:eastAsiaTheme="minorHAnsi" w:hAnsi="Tahoma" w:cs="Tahoma"/>
          <w:sz w:val="22"/>
          <w:szCs w:val="22"/>
        </w:rPr>
        <w:t xml:space="preserve"> (</w:t>
      </w:r>
      <w:r w:rsidR="00FA5A1D" w:rsidRPr="001D5AE2">
        <w:rPr>
          <w:rFonts w:ascii="Tahoma" w:eastAsiaTheme="minorHAnsi" w:hAnsi="Tahoma" w:cs="Tahoma"/>
          <w:sz w:val="22"/>
          <w:szCs w:val="22"/>
        </w:rPr>
        <w:t xml:space="preserve">152.57 </w:t>
      </w:r>
      <w:r w:rsidRPr="001D5AE2">
        <w:rPr>
          <w:rFonts w:ascii="Tahoma" w:eastAsiaTheme="minorHAnsi" w:hAnsi="Tahoma" w:cs="Tahoma"/>
          <w:sz w:val="22"/>
          <w:szCs w:val="22"/>
        </w:rPr>
        <w:t>percent), respectively.</w:t>
      </w:r>
    </w:p>
    <w:p w14:paraId="7B86A70B" w14:textId="34A061A9" w:rsidR="00442EEA" w:rsidRPr="001D5AE2" w:rsidRDefault="00442EEA" w:rsidP="00A62FBB">
      <w:pPr>
        <w:pStyle w:val="ListParagraph"/>
        <w:numPr>
          <w:ilvl w:val="0"/>
          <w:numId w:val="31"/>
        </w:numPr>
        <w:spacing w:line="360" w:lineRule="auto"/>
        <w:ind w:left="709"/>
        <w:jc w:val="both"/>
        <w:rPr>
          <w:rFonts w:ascii="Tahoma" w:eastAsiaTheme="minorHAnsi" w:hAnsi="Tahoma" w:cs="Tahoma"/>
          <w:sz w:val="22"/>
          <w:szCs w:val="22"/>
        </w:rPr>
      </w:pPr>
      <w:r w:rsidRPr="001D5AE2">
        <w:rPr>
          <w:rFonts w:ascii="Tahoma" w:eastAsiaTheme="minorHAnsi" w:hAnsi="Tahoma" w:cs="Tahoma"/>
          <w:sz w:val="22"/>
          <w:szCs w:val="22"/>
        </w:rPr>
        <w:t>Analysis using this debt indicator of debt to revenue shows that S</w:t>
      </w:r>
      <w:r w:rsidR="00A04882" w:rsidRPr="001D5AE2">
        <w:rPr>
          <w:rFonts w:ascii="Tahoma" w:eastAsiaTheme="minorHAnsi" w:hAnsi="Tahoma" w:cs="Tahoma"/>
          <w:sz w:val="22"/>
          <w:szCs w:val="22"/>
        </w:rPr>
        <w:t>1</w:t>
      </w:r>
      <w:r w:rsidRPr="001D5AE2">
        <w:rPr>
          <w:rFonts w:ascii="Tahoma" w:eastAsiaTheme="minorHAnsi" w:hAnsi="Tahoma" w:cs="Tahoma"/>
          <w:sz w:val="22"/>
          <w:szCs w:val="22"/>
        </w:rPr>
        <w:t xml:space="preserve"> has the lowest costs </w:t>
      </w:r>
      <w:r w:rsidR="00CE5943" w:rsidRPr="001D5AE2">
        <w:rPr>
          <w:rFonts w:ascii="Tahoma" w:eastAsiaTheme="minorHAnsi" w:hAnsi="Tahoma" w:cs="Tahoma"/>
          <w:sz w:val="22"/>
          <w:szCs w:val="22"/>
        </w:rPr>
        <w:t xml:space="preserve">which was measured at 72.62 percent </w:t>
      </w:r>
      <w:r w:rsidR="00A04882" w:rsidRPr="001D5AE2">
        <w:rPr>
          <w:rFonts w:ascii="Tahoma" w:eastAsiaTheme="minorHAnsi" w:hAnsi="Tahoma" w:cs="Tahoma"/>
          <w:sz w:val="22"/>
          <w:szCs w:val="22"/>
        </w:rPr>
        <w:t>compared to</w:t>
      </w:r>
      <w:r w:rsidRPr="001D5AE2">
        <w:rPr>
          <w:rFonts w:ascii="Tahoma" w:eastAsiaTheme="minorHAnsi" w:hAnsi="Tahoma" w:cs="Tahoma"/>
          <w:sz w:val="22"/>
          <w:szCs w:val="22"/>
        </w:rPr>
        <w:t xml:space="preserve"> </w:t>
      </w:r>
      <w:r w:rsidR="00175968" w:rsidRPr="001D5AE2">
        <w:rPr>
          <w:rFonts w:ascii="Tahoma" w:eastAsiaTheme="minorHAnsi" w:hAnsi="Tahoma" w:cs="Tahoma"/>
          <w:sz w:val="22"/>
          <w:szCs w:val="22"/>
        </w:rPr>
        <w:t xml:space="preserve">Strategy </w:t>
      </w:r>
      <w:r w:rsidR="00A04882" w:rsidRPr="001D5AE2">
        <w:rPr>
          <w:rFonts w:ascii="Tahoma" w:eastAsiaTheme="minorHAnsi" w:hAnsi="Tahoma" w:cs="Tahoma"/>
          <w:sz w:val="22"/>
          <w:szCs w:val="22"/>
        </w:rPr>
        <w:t xml:space="preserve">2 </w:t>
      </w:r>
      <w:r w:rsidR="00CE5943" w:rsidRPr="001D5AE2">
        <w:rPr>
          <w:rFonts w:ascii="Tahoma" w:eastAsiaTheme="minorHAnsi" w:hAnsi="Tahoma" w:cs="Tahoma"/>
          <w:sz w:val="22"/>
          <w:szCs w:val="22"/>
        </w:rPr>
        <w:t>that e</w:t>
      </w:r>
      <w:r w:rsidR="0067535F" w:rsidRPr="001D5AE2">
        <w:rPr>
          <w:rFonts w:ascii="Tahoma" w:eastAsiaTheme="minorHAnsi" w:hAnsi="Tahoma" w:cs="Tahoma"/>
          <w:sz w:val="22"/>
          <w:szCs w:val="22"/>
        </w:rPr>
        <w:t>x</w:t>
      </w:r>
      <w:r w:rsidR="00CE5943" w:rsidRPr="001D5AE2">
        <w:rPr>
          <w:rFonts w:ascii="Tahoma" w:eastAsiaTheme="minorHAnsi" w:hAnsi="Tahoma" w:cs="Tahoma"/>
          <w:sz w:val="22"/>
          <w:szCs w:val="22"/>
        </w:rPr>
        <w:t xml:space="preserve">pected to </w:t>
      </w:r>
      <w:r w:rsidRPr="001D5AE2">
        <w:rPr>
          <w:rFonts w:ascii="Tahoma" w:eastAsiaTheme="minorHAnsi" w:hAnsi="Tahoma" w:cs="Tahoma"/>
          <w:sz w:val="22"/>
          <w:szCs w:val="22"/>
        </w:rPr>
        <w:t xml:space="preserve">highest Costs </w:t>
      </w:r>
      <w:r w:rsidR="00175968" w:rsidRPr="001D5AE2">
        <w:rPr>
          <w:rFonts w:ascii="Tahoma" w:eastAsiaTheme="minorHAnsi" w:hAnsi="Tahoma" w:cs="Tahoma"/>
          <w:sz w:val="22"/>
          <w:szCs w:val="22"/>
        </w:rPr>
        <w:t xml:space="preserve">and </w:t>
      </w:r>
      <w:r w:rsidR="00A70AFD" w:rsidRPr="001D5AE2">
        <w:rPr>
          <w:rFonts w:ascii="Tahoma" w:eastAsiaTheme="minorHAnsi" w:hAnsi="Tahoma" w:cs="Tahoma"/>
          <w:sz w:val="22"/>
          <w:szCs w:val="22"/>
        </w:rPr>
        <w:t xml:space="preserve">S2 </w:t>
      </w:r>
      <w:r w:rsidR="003B19C3" w:rsidRPr="001D5AE2">
        <w:rPr>
          <w:rFonts w:ascii="Tahoma" w:eastAsiaTheme="minorHAnsi" w:hAnsi="Tahoma" w:cs="Tahoma"/>
          <w:sz w:val="22"/>
          <w:szCs w:val="22"/>
        </w:rPr>
        <w:t xml:space="preserve">recorded with </w:t>
      </w:r>
      <w:r w:rsidR="00A70AFD" w:rsidRPr="001D5AE2">
        <w:rPr>
          <w:rFonts w:ascii="Tahoma" w:eastAsiaTheme="minorHAnsi" w:hAnsi="Tahoma" w:cs="Tahoma"/>
          <w:sz w:val="22"/>
          <w:szCs w:val="22"/>
        </w:rPr>
        <w:t xml:space="preserve">the lowest risks with the average measured </w:t>
      </w:r>
      <w:r w:rsidR="00A62FBB" w:rsidRPr="001D5AE2">
        <w:rPr>
          <w:rFonts w:ascii="Tahoma" w:eastAsiaTheme="minorHAnsi" w:hAnsi="Tahoma" w:cs="Tahoma"/>
          <w:sz w:val="22"/>
          <w:szCs w:val="22"/>
        </w:rPr>
        <w:t xml:space="preserve">at </w:t>
      </w:r>
      <w:r w:rsidR="00A70AFD" w:rsidRPr="001D5AE2">
        <w:rPr>
          <w:rFonts w:ascii="Tahoma" w:eastAsiaTheme="minorHAnsi" w:hAnsi="Tahoma" w:cs="Tahoma"/>
          <w:sz w:val="22"/>
          <w:szCs w:val="22"/>
        </w:rPr>
        <w:t>150.92 percent</w:t>
      </w:r>
      <w:r w:rsidR="00A62FBB" w:rsidRPr="001D5AE2">
        <w:rPr>
          <w:rFonts w:ascii="Tahoma" w:eastAsiaTheme="minorHAnsi" w:hAnsi="Tahoma" w:cs="Tahoma"/>
          <w:sz w:val="22"/>
          <w:szCs w:val="22"/>
        </w:rPr>
        <w:t xml:space="preserve">, as the </w:t>
      </w:r>
      <w:r w:rsidR="00800A21" w:rsidRPr="001D5AE2">
        <w:rPr>
          <w:rFonts w:ascii="Tahoma" w:eastAsiaTheme="minorHAnsi" w:hAnsi="Tahoma" w:cs="Tahoma"/>
          <w:sz w:val="22"/>
          <w:szCs w:val="22"/>
        </w:rPr>
        <w:t>Strategy</w:t>
      </w:r>
      <w:r w:rsidR="00327942" w:rsidRPr="001D5AE2">
        <w:rPr>
          <w:rFonts w:ascii="Tahoma" w:eastAsiaTheme="minorHAnsi" w:hAnsi="Tahoma" w:cs="Tahoma"/>
          <w:sz w:val="22"/>
          <w:szCs w:val="22"/>
        </w:rPr>
        <w:t xml:space="preserve"> 1</w:t>
      </w:r>
      <w:r w:rsidR="00800A21" w:rsidRPr="001D5AE2">
        <w:rPr>
          <w:rFonts w:ascii="Tahoma" w:eastAsiaTheme="minorHAnsi" w:hAnsi="Tahoma" w:cs="Tahoma"/>
          <w:sz w:val="22"/>
          <w:szCs w:val="22"/>
        </w:rPr>
        <w:t xml:space="preserve"> </w:t>
      </w:r>
      <w:r w:rsidR="009A1597" w:rsidRPr="001D5AE2">
        <w:rPr>
          <w:rFonts w:ascii="Tahoma" w:eastAsiaTheme="minorHAnsi" w:hAnsi="Tahoma" w:cs="Tahoma"/>
          <w:sz w:val="22"/>
          <w:szCs w:val="22"/>
        </w:rPr>
        <w:t xml:space="preserve">was measured with the </w:t>
      </w:r>
      <w:r w:rsidR="00800A21" w:rsidRPr="001D5AE2">
        <w:rPr>
          <w:rFonts w:ascii="Tahoma" w:eastAsiaTheme="minorHAnsi" w:hAnsi="Tahoma" w:cs="Tahoma"/>
          <w:sz w:val="22"/>
          <w:szCs w:val="22"/>
        </w:rPr>
        <w:t xml:space="preserve">highest </w:t>
      </w:r>
      <w:r w:rsidR="00175968" w:rsidRPr="001D5AE2">
        <w:rPr>
          <w:rFonts w:ascii="Tahoma" w:eastAsiaTheme="minorHAnsi" w:hAnsi="Tahoma" w:cs="Tahoma"/>
          <w:sz w:val="22"/>
          <w:szCs w:val="22"/>
        </w:rPr>
        <w:t xml:space="preserve">risks </w:t>
      </w:r>
      <w:r w:rsidRPr="001D5AE2">
        <w:rPr>
          <w:rFonts w:ascii="Tahoma" w:eastAsiaTheme="minorHAnsi" w:hAnsi="Tahoma" w:cs="Tahoma"/>
          <w:sz w:val="22"/>
          <w:szCs w:val="22"/>
        </w:rPr>
        <w:t xml:space="preserve">under debt to </w:t>
      </w:r>
      <w:r w:rsidR="00800A21" w:rsidRPr="001D5AE2">
        <w:rPr>
          <w:rFonts w:ascii="Tahoma" w:eastAsiaTheme="minorHAnsi" w:hAnsi="Tahoma" w:cs="Tahoma"/>
          <w:sz w:val="22"/>
          <w:szCs w:val="22"/>
        </w:rPr>
        <w:t xml:space="preserve">revenue </w:t>
      </w:r>
      <w:r w:rsidRPr="001D5AE2">
        <w:rPr>
          <w:rFonts w:ascii="Tahoma" w:eastAsiaTheme="minorHAnsi" w:hAnsi="Tahoma" w:cs="Tahoma"/>
          <w:sz w:val="22"/>
          <w:szCs w:val="22"/>
        </w:rPr>
        <w:t>ratio</w:t>
      </w:r>
      <w:r w:rsidR="00A04882" w:rsidRPr="001D5AE2">
        <w:rPr>
          <w:rFonts w:ascii="Tahoma" w:eastAsiaTheme="minorHAnsi" w:hAnsi="Tahoma" w:cs="Tahoma"/>
          <w:sz w:val="22"/>
          <w:szCs w:val="22"/>
        </w:rPr>
        <w:t xml:space="preserve">, </w:t>
      </w:r>
      <w:r w:rsidRPr="001D5AE2">
        <w:rPr>
          <w:rFonts w:ascii="Tahoma" w:eastAsiaTheme="minorHAnsi" w:hAnsi="Tahoma" w:cs="Tahoma"/>
          <w:sz w:val="22"/>
          <w:szCs w:val="22"/>
        </w:rPr>
        <w:t>over the period.</w:t>
      </w:r>
    </w:p>
    <w:p w14:paraId="184D0133" w14:textId="46BE4113" w:rsidR="00EE4B4D" w:rsidRPr="001D5AE2" w:rsidRDefault="00796929" w:rsidP="00EE4B4D">
      <w:pPr>
        <w:spacing w:line="360" w:lineRule="auto"/>
        <w:jc w:val="both"/>
        <w:rPr>
          <w:rFonts w:ascii="Tahoma" w:hAnsi="Tahoma" w:cs="Tahoma"/>
          <w:bCs/>
          <w:iCs/>
          <w:color w:val="000000" w:themeColor="text1"/>
        </w:rPr>
      </w:pPr>
      <w:r w:rsidRPr="001D5AE2">
        <w:rPr>
          <w:noProof/>
        </w:rPr>
        <w:drawing>
          <wp:inline distT="0" distB="0" distL="0" distR="0" wp14:anchorId="20715D9D" wp14:editId="2561C754">
            <wp:extent cx="5943600" cy="2306955"/>
            <wp:effectExtent l="0" t="0" r="0" b="0"/>
            <wp:docPr id="1119249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306955"/>
                    </a:xfrm>
                    <a:prstGeom prst="rect">
                      <a:avLst/>
                    </a:prstGeom>
                    <a:noFill/>
                    <a:ln>
                      <a:noFill/>
                    </a:ln>
                  </pic:spPr>
                </pic:pic>
              </a:graphicData>
            </a:graphic>
          </wp:inline>
        </w:drawing>
      </w:r>
    </w:p>
    <w:p w14:paraId="44306EDC" w14:textId="1968C3A5" w:rsidR="00C57DFE" w:rsidRPr="001D5AE2" w:rsidRDefault="00C57DFE" w:rsidP="00C57DFE">
      <w:pPr>
        <w:pStyle w:val="ListParagraph"/>
        <w:numPr>
          <w:ilvl w:val="0"/>
          <w:numId w:val="28"/>
        </w:numPr>
        <w:spacing w:after="0" w:line="360" w:lineRule="auto"/>
        <w:ind w:left="426" w:hanging="426"/>
        <w:jc w:val="both"/>
        <w:rPr>
          <w:rFonts w:ascii="Tahoma" w:hAnsi="Tahoma" w:cs="Tahoma"/>
          <w:bCs/>
          <w:iCs/>
          <w:color w:val="000000" w:themeColor="text1"/>
          <w:sz w:val="22"/>
          <w:szCs w:val="22"/>
        </w:rPr>
      </w:pPr>
      <w:r w:rsidRPr="001D5AE2">
        <w:rPr>
          <w:rFonts w:ascii="Tahoma" w:hAnsi="Tahoma" w:cs="Tahoma"/>
          <w:b/>
          <w:iCs/>
          <w:color w:val="000000" w:themeColor="text1"/>
          <w:sz w:val="22"/>
          <w:szCs w:val="22"/>
        </w:rPr>
        <w:t xml:space="preserve">Debt Service </w:t>
      </w:r>
      <w:r w:rsidR="003D1089" w:rsidRPr="001D5AE2">
        <w:rPr>
          <w:rFonts w:ascii="Tahoma" w:hAnsi="Tahoma" w:cs="Tahoma"/>
          <w:b/>
          <w:iCs/>
          <w:color w:val="000000" w:themeColor="text1"/>
          <w:sz w:val="22"/>
          <w:szCs w:val="22"/>
        </w:rPr>
        <w:t xml:space="preserve">as a share of </w:t>
      </w:r>
      <w:r w:rsidRPr="001D5AE2">
        <w:rPr>
          <w:rFonts w:ascii="Tahoma" w:hAnsi="Tahoma" w:cs="Tahoma"/>
          <w:b/>
          <w:iCs/>
          <w:color w:val="000000" w:themeColor="text1"/>
          <w:sz w:val="22"/>
          <w:szCs w:val="22"/>
        </w:rPr>
        <w:t>Revenue:</w:t>
      </w:r>
      <w:r w:rsidRPr="001D5AE2">
        <w:rPr>
          <w:rFonts w:ascii="Tahoma" w:hAnsi="Tahoma" w:cs="Tahoma"/>
          <w:bCs/>
          <w:iCs/>
          <w:color w:val="000000" w:themeColor="text1"/>
          <w:sz w:val="22"/>
          <w:szCs w:val="22"/>
        </w:rPr>
        <w:t xml:space="preserve"> </w:t>
      </w:r>
    </w:p>
    <w:p w14:paraId="2C262F97" w14:textId="7C29348C" w:rsidR="001D23A6" w:rsidRPr="001D5AE2" w:rsidRDefault="0023527A" w:rsidP="001D23A6">
      <w:pPr>
        <w:pStyle w:val="ListParagraph"/>
        <w:numPr>
          <w:ilvl w:val="0"/>
          <w:numId w:val="33"/>
        </w:numPr>
        <w:spacing w:after="0" w:line="360" w:lineRule="auto"/>
        <w:jc w:val="both"/>
        <w:rPr>
          <w:rFonts w:ascii="Tahoma" w:eastAsiaTheme="minorHAnsi" w:hAnsi="Tahoma" w:cs="Tahoma"/>
          <w:sz w:val="22"/>
          <w:szCs w:val="22"/>
        </w:rPr>
      </w:pPr>
      <w:r w:rsidRPr="001D5AE2">
        <w:rPr>
          <w:rFonts w:ascii="Tahoma" w:eastAsiaTheme="minorHAnsi" w:hAnsi="Tahoma" w:cs="Tahoma"/>
          <w:sz w:val="22"/>
          <w:szCs w:val="22"/>
        </w:rPr>
        <w:t>In terms of Debt Service to Revenue, S</w:t>
      </w:r>
      <w:r w:rsidR="00C57DFE" w:rsidRPr="001D5AE2">
        <w:rPr>
          <w:rFonts w:ascii="Tahoma" w:eastAsiaTheme="minorHAnsi" w:hAnsi="Tahoma" w:cs="Tahoma"/>
          <w:sz w:val="22"/>
          <w:szCs w:val="22"/>
        </w:rPr>
        <w:t xml:space="preserve">trategy </w:t>
      </w:r>
      <w:r w:rsidR="00A04882" w:rsidRPr="001D5AE2">
        <w:rPr>
          <w:rFonts w:ascii="Tahoma" w:eastAsiaTheme="minorHAnsi" w:hAnsi="Tahoma" w:cs="Tahoma"/>
          <w:sz w:val="22"/>
          <w:szCs w:val="22"/>
        </w:rPr>
        <w:t>1</w:t>
      </w:r>
      <w:r w:rsidRPr="001D5AE2">
        <w:rPr>
          <w:rFonts w:ascii="Tahoma" w:eastAsiaTheme="minorHAnsi" w:hAnsi="Tahoma" w:cs="Tahoma"/>
          <w:sz w:val="22"/>
          <w:szCs w:val="22"/>
        </w:rPr>
        <w:t xml:space="preserve"> has </w:t>
      </w:r>
      <w:r w:rsidR="00A04882" w:rsidRPr="001D5AE2">
        <w:rPr>
          <w:rFonts w:ascii="Tahoma" w:eastAsiaTheme="minorHAnsi" w:hAnsi="Tahoma" w:cs="Tahoma"/>
          <w:sz w:val="22"/>
          <w:szCs w:val="22"/>
        </w:rPr>
        <w:t>the lowest</w:t>
      </w:r>
      <w:r w:rsidR="00963BA1" w:rsidRPr="001D5AE2">
        <w:rPr>
          <w:rFonts w:ascii="Tahoma" w:eastAsiaTheme="minorHAnsi" w:hAnsi="Tahoma" w:cs="Tahoma"/>
          <w:sz w:val="22"/>
          <w:szCs w:val="22"/>
        </w:rPr>
        <w:t xml:space="preserve"> </w:t>
      </w:r>
      <w:r w:rsidRPr="001D5AE2">
        <w:rPr>
          <w:rFonts w:ascii="Tahoma" w:eastAsiaTheme="minorHAnsi" w:hAnsi="Tahoma" w:cs="Tahoma"/>
          <w:sz w:val="22"/>
          <w:szCs w:val="22"/>
        </w:rPr>
        <w:t>cost</w:t>
      </w:r>
      <w:r w:rsidR="00B05089" w:rsidRPr="001D5AE2">
        <w:rPr>
          <w:rFonts w:ascii="Tahoma" w:eastAsiaTheme="minorHAnsi" w:hAnsi="Tahoma" w:cs="Tahoma"/>
          <w:sz w:val="22"/>
          <w:szCs w:val="22"/>
        </w:rPr>
        <w:t>s</w:t>
      </w:r>
      <w:r w:rsidR="00BB772A" w:rsidRPr="001D5AE2">
        <w:rPr>
          <w:rFonts w:ascii="Tahoma" w:eastAsiaTheme="minorHAnsi" w:hAnsi="Tahoma" w:cs="Tahoma"/>
          <w:sz w:val="22"/>
          <w:szCs w:val="22"/>
        </w:rPr>
        <w:t xml:space="preserve"> and risks with </w:t>
      </w:r>
      <w:r w:rsidR="00A7398A" w:rsidRPr="001D5AE2">
        <w:rPr>
          <w:rFonts w:ascii="Tahoma" w:eastAsiaTheme="minorHAnsi" w:hAnsi="Tahoma" w:cs="Tahoma"/>
          <w:sz w:val="22"/>
          <w:szCs w:val="22"/>
        </w:rPr>
        <w:t xml:space="preserve">14.44 </w:t>
      </w:r>
      <w:r w:rsidR="00BB772A" w:rsidRPr="001D5AE2">
        <w:rPr>
          <w:rFonts w:ascii="Tahoma" w:eastAsiaTheme="minorHAnsi" w:hAnsi="Tahoma" w:cs="Tahoma"/>
          <w:sz w:val="22"/>
          <w:szCs w:val="22"/>
        </w:rPr>
        <w:t xml:space="preserve">percent and </w:t>
      </w:r>
      <w:r w:rsidR="006C4478" w:rsidRPr="001D5AE2">
        <w:rPr>
          <w:rFonts w:ascii="Tahoma" w:eastAsiaTheme="minorHAnsi" w:hAnsi="Tahoma" w:cs="Tahoma"/>
          <w:sz w:val="22"/>
          <w:szCs w:val="22"/>
        </w:rPr>
        <w:t xml:space="preserve">4.32 </w:t>
      </w:r>
      <w:r w:rsidR="000C0028" w:rsidRPr="001D5AE2">
        <w:rPr>
          <w:rFonts w:ascii="Tahoma" w:eastAsiaTheme="minorHAnsi" w:hAnsi="Tahoma" w:cs="Tahoma"/>
          <w:sz w:val="22"/>
          <w:szCs w:val="22"/>
        </w:rPr>
        <w:t>p</w:t>
      </w:r>
      <w:r w:rsidR="00BB772A" w:rsidRPr="001D5AE2">
        <w:rPr>
          <w:rFonts w:ascii="Tahoma" w:eastAsiaTheme="minorHAnsi" w:hAnsi="Tahoma" w:cs="Tahoma"/>
          <w:sz w:val="22"/>
          <w:szCs w:val="22"/>
        </w:rPr>
        <w:t xml:space="preserve">ercent by the end of </w:t>
      </w:r>
      <w:r w:rsidR="00C9283A" w:rsidRPr="001D5AE2">
        <w:rPr>
          <w:rFonts w:ascii="Tahoma" w:eastAsiaTheme="minorHAnsi" w:hAnsi="Tahoma" w:cs="Tahoma"/>
          <w:sz w:val="22"/>
          <w:szCs w:val="22"/>
        </w:rPr>
        <w:t>the strategic</w:t>
      </w:r>
      <w:r w:rsidR="00BB772A" w:rsidRPr="001D5AE2">
        <w:rPr>
          <w:rFonts w:ascii="Tahoma" w:eastAsiaTheme="minorHAnsi" w:hAnsi="Tahoma" w:cs="Tahoma"/>
          <w:sz w:val="22"/>
          <w:szCs w:val="22"/>
        </w:rPr>
        <w:t xml:space="preserve"> period compared with Strategy </w:t>
      </w:r>
      <w:r w:rsidR="000F5B12" w:rsidRPr="001D5AE2">
        <w:rPr>
          <w:rFonts w:ascii="Tahoma" w:eastAsiaTheme="minorHAnsi" w:hAnsi="Tahoma" w:cs="Tahoma"/>
          <w:sz w:val="22"/>
          <w:szCs w:val="22"/>
        </w:rPr>
        <w:t>4</w:t>
      </w:r>
      <w:r w:rsidR="00BB772A" w:rsidRPr="001D5AE2">
        <w:rPr>
          <w:rFonts w:ascii="Tahoma" w:eastAsiaTheme="minorHAnsi" w:hAnsi="Tahoma" w:cs="Tahoma"/>
          <w:sz w:val="22"/>
          <w:szCs w:val="22"/>
        </w:rPr>
        <w:t xml:space="preserve"> of </w:t>
      </w:r>
      <w:r w:rsidR="00014F8E" w:rsidRPr="001D5AE2">
        <w:rPr>
          <w:rFonts w:ascii="Tahoma" w:eastAsiaTheme="minorHAnsi" w:hAnsi="Tahoma" w:cs="Tahoma"/>
          <w:sz w:val="22"/>
          <w:szCs w:val="22"/>
        </w:rPr>
        <w:t xml:space="preserve">17.07 </w:t>
      </w:r>
      <w:r w:rsidR="00BB772A" w:rsidRPr="001D5AE2">
        <w:rPr>
          <w:rFonts w:ascii="Tahoma" w:eastAsiaTheme="minorHAnsi" w:hAnsi="Tahoma" w:cs="Tahoma"/>
          <w:sz w:val="22"/>
          <w:szCs w:val="22"/>
        </w:rPr>
        <w:t xml:space="preserve">percent and </w:t>
      </w:r>
      <w:r w:rsidR="006547BB" w:rsidRPr="001D5AE2">
        <w:rPr>
          <w:rFonts w:ascii="Tahoma" w:eastAsiaTheme="minorHAnsi" w:hAnsi="Tahoma" w:cs="Tahoma"/>
          <w:sz w:val="22"/>
          <w:szCs w:val="22"/>
        </w:rPr>
        <w:t xml:space="preserve">4.37 </w:t>
      </w:r>
      <w:r w:rsidR="008850CA" w:rsidRPr="001D5AE2">
        <w:rPr>
          <w:rFonts w:ascii="Tahoma" w:eastAsiaTheme="minorHAnsi" w:hAnsi="Tahoma" w:cs="Tahoma"/>
          <w:sz w:val="22"/>
          <w:szCs w:val="22"/>
        </w:rPr>
        <w:t>percent</w:t>
      </w:r>
      <w:r w:rsidR="00A04882" w:rsidRPr="001D5AE2">
        <w:rPr>
          <w:rFonts w:ascii="Tahoma" w:eastAsiaTheme="minorHAnsi" w:hAnsi="Tahoma" w:cs="Tahoma"/>
          <w:sz w:val="22"/>
          <w:szCs w:val="22"/>
        </w:rPr>
        <w:t xml:space="preserve">, </w:t>
      </w:r>
      <w:r w:rsidR="00BB772A" w:rsidRPr="001D5AE2">
        <w:rPr>
          <w:rFonts w:ascii="Tahoma" w:eastAsiaTheme="minorHAnsi" w:hAnsi="Tahoma" w:cs="Tahoma"/>
          <w:sz w:val="22"/>
          <w:szCs w:val="22"/>
        </w:rPr>
        <w:t xml:space="preserve">Strategy </w:t>
      </w:r>
      <w:r w:rsidR="00A04882" w:rsidRPr="001D5AE2">
        <w:rPr>
          <w:rFonts w:ascii="Tahoma" w:eastAsiaTheme="minorHAnsi" w:hAnsi="Tahoma" w:cs="Tahoma"/>
          <w:sz w:val="22"/>
          <w:szCs w:val="22"/>
        </w:rPr>
        <w:t>3</w:t>
      </w:r>
      <w:r w:rsidR="00BB772A" w:rsidRPr="001D5AE2">
        <w:rPr>
          <w:rFonts w:ascii="Tahoma" w:eastAsiaTheme="minorHAnsi" w:hAnsi="Tahoma" w:cs="Tahoma"/>
          <w:sz w:val="22"/>
          <w:szCs w:val="22"/>
        </w:rPr>
        <w:t xml:space="preserve"> of </w:t>
      </w:r>
      <w:r w:rsidR="008850CA" w:rsidRPr="001D5AE2">
        <w:rPr>
          <w:rFonts w:ascii="Tahoma" w:eastAsiaTheme="minorHAnsi" w:hAnsi="Tahoma" w:cs="Tahoma"/>
          <w:sz w:val="22"/>
          <w:szCs w:val="22"/>
        </w:rPr>
        <w:t>1</w:t>
      </w:r>
      <w:r w:rsidR="006547BB" w:rsidRPr="001D5AE2">
        <w:rPr>
          <w:rFonts w:ascii="Tahoma" w:eastAsiaTheme="minorHAnsi" w:hAnsi="Tahoma" w:cs="Tahoma"/>
          <w:sz w:val="22"/>
          <w:szCs w:val="22"/>
        </w:rPr>
        <w:t>8</w:t>
      </w:r>
      <w:r w:rsidR="008850CA" w:rsidRPr="001D5AE2">
        <w:rPr>
          <w:rFonts w:ascii="Tahoma" w:eastAsiaTheme="minorHAnsi" w:hAnsi="Tahoma" w:cs="Tahoma"/>
          <w:sz w:val="22"/>
          <w:szCs w:val="22"/>
        </w:rPr>
        <w:t>.</w:t>
      </w:r>
      <w:r w:rsidR="006547BB" w:rsidRPr="001D5AE2">
        <w:rPr>
          <w:rFonts w:ascii="Tahoma" w:eastAsiaTheme="minorHAnsi" w:hAnsi="Tahoma" w:cs="Tahoma"/>
          <w:sz w:val="22"/>
          <w:szCs w:val="22"/>
        </w:rPr>
        <w:t>28 p</w:t>
      </w:r>
      <w:r w:rsidR="00BB772A" w:rsidRPr="001D5AE2">
        <w:rPr>
          <w:rFonts w:ascii="Tahoma" w:eastAsiaTheme="minorHAnsi" w:hAnsi="Tahoma" w:cs="Tahoma"/>
          <w:sz w:val="22"/>
          <w:szCs w:val="22"/>
        </w:rPr>
        <w:t xml:space="preserve">ercent and </w:t>
      </w:r>
      <w:r w:rsidR="008850CA" w:rsidRPr="001D5AE2">
        <w:rPr>
          <w:rFonts w:ascii="Tahoma" w:eastAsiaTheme="minorHAnsi" w:hAnsi="Tahoma" w:cs="Tahoma"/>
          <w:sz w:val="22"/>
          <w:szCs w:val="22"/>
        </w:rPr>
        <w:t>4.</w:t>
      </w:r>
      <w:r w:rsidR="006547BB" w:rsidRPr="001D5AE2">
        <w:rPr>
          <w:rFonts w:ascii="Tahoma" w:eastAsiaTheme="minorHAnsi" w:hAnsi="Tahoma" w:cs="Tahoma"/>
          <w:sz w:val="22"/>
          <w:szCs w:val="22"/>
        </w:rPr>
        <w:t xml:space="preserve">51 </w:t>
      </w:r>
      <w:r w:rsidR="00BB772A" w:rsidRPr="001D5AE2">
        <w:rPr>
          <w:rFonts w:ascii="Tahoma" w:eastAsiaTheme="minorHAnsi" w:hAnsi="Tahoma" w:cs="Tahoma"/>
          <w:sz w:val="22"/>
          <w:szCs w:val="22"/>
        </w:rPr>
        <w:t>percent</w:t>
      </w:r>
      <w:r w:rsidR="001811CC" w:rsidRPr="001D5AE2">
        <w:rPr>
          <w:rFonts w:ascii="Tahoma" w:eastAsiaTheme="minorHAnsi" w:hAnsi="Tahoma" w:cs="Tahoma"/>
          <w:sz w:val="22"/>
          <w:szCs w:val="22"/>
        </w:rPr>
        <w:t xml:space="preserve">, </w:t>
      </w:r>
      <w:r w:rsidR="00BB772A" w:rsidRPr="001D5AE2">
        <w:rPr>
          <w:rFonts w:ascii="Tahoma" w:eastAsiaTheme="minorHAnsi" w:hAnsi="Tahoma" w:cs="Tahoma"/>
          <w:sz w:val="22"/>
          <w:szCs w:val="22"/>
        </w:rPr>
        <w:t xml:space="preserve">all under moderate costs and risks, as against </w:t>
      </w:r>
      <w:r w:rsidR="006547BB" w:rsidRPr="001D5AE2">
        <w:rPr>
          <w:rFonts w:ascii="Tahoma" w:eastAsiaTheme="minorHAnsi" w:hAnsi="Tahoma" w:cs="Tahoma"/>
          <w:sz w:val="22"/>
          <w:szCs w:val="22"/>
        </w:rPr>
        <w:t xml:space="preserve">the </w:t>
      </w:r>
      <w:r w:rsidR="00BB772A" w:rsidRPr="001D5AE2">
        <w:rPr>
          <w:rFonts w:ascii="Tahoma" w:eastAsiaTheme="minorHAnsi" w:hAnsi="Tahoma" w:cs="Tahoma"/>
          <w:sz w:val="22"/>
          <w:szCs w:val="22"/>
        </w:rPr>
        <w:t xml:space="preserve">Strategy 2 with the highest costs and risks of </w:t>
      </w:r>
      <w:r w:rsidR="006547BB" w:rsidRPr="001D5AE2">
        <w:rPr>
          <w:rFonts w:ascii="Tahoma" w:eastAsiaTheme="minorHAnsi" w:hAnsi="Tahoma" w:cs="Tahoma"/>
          <w:sz w:val="22"/>
          <w:szCs w:val="22"/>
        </w:rPr>
        <w:t>21.</w:t>
      </w:r>
      <w:r w:rsidR="0046313B" w:rsidRPr="001D5AE2">
        <w:rPr>
          <w:rFonts w:ascii="Tahoma" w:eastAsiaTheme="minorHAnsi" w:hAnsi="Tahoma" w:cs="Tahoma"/>
          <w:sz w:val="22"/>
          <w:szCs w:val="22"/>
        </w:rPr>
        <w:t xml:space="preserve">25 </w:t>
      </w:r>
      <w:r w:rsidR="00BB772A" w:rsidRPr="001D5AE2">
        <w:rPr>
          <w:rFonts w:ascii="Tahoma" w:eastAsiaTheme="minorHAnsi" w:hAnsi="Tahoma" w:cs="Tahoma"/>
          <w:sz w:val="22"/>
          <w:szCs w:val="22"/>
        </w:rPr>
        <w:t xml:space="preserve">percent and </w:t>
      </w:r>
      <w:r w:rsidR="008850CA" w:rsidRPr="001D5AE2">
        <w:rPr>
          <w:rFonts w:ascii="Tahoma" w:eastAsiaTheme="minorHAnsi" w:hAnsi="Tahoma" w:cs="Tahoma"/>
          <w:sz w:val="22"/>
          <w:szCs w:val="22"/>
        </w:rPr>
        <w:t>4.</w:t>
      </w:r>
      <w:r w:rsidR="0046313B" w:rsidRPr="001D5AE2">
        <w:rPr>
          <w:rFonts w:ascii="Tahoma" w:eastAsiaTheme="minorHAnsi" w:hAnsi="Tahoma" w:cs="Tahoma"/>
          <w:sz w:val="22"/>
          <w:szCs w:val="22"/>
        </w:rPr>
        <w:t>84 p</w:t>
      </w:r>
      <w:r w:rsidR="00BB772A" w:rsidRPr="001D5AE2">
        <w:rPr>
          <w:rFonts w:ascii="Tahoma" w:eastAsiaTheme="minorHAnsi" w:hAnsi="Tahoma" w:cs="Tahoma"/>
          <w:sz w:val="22"/>
          <w:szCs w:val="22"/>
        </w:rPr>
        <w:t xml:space="preserve">ercent </w:t>
      </w:r>
      <w:r w:rsidR="00E736E7" w:rsidRPr="001D5AE2">
        <w:rPr>
          <w:rFonts w:ascii="Tahoma" w:eastAsiaTheme="minorHAnsi" w:hAnsi="Tahoma" w:cs="Tahoma"/>
          <w:sz w:val="22"/>
          <w:szCs w:val="22"/>
        </w:rPr>
        <w:t>respectively, as at end of the strategic period</w:t>
      </w:r>
      <w:r w:rsidR="00C57DFE" w:rsidRPr="001D5AE2">
        <w:rPr>
          <w:rFonts w:ascii="Tahoma" w:eastAsiaTheme="minorHAnsi" w:hAnsi="Tahoma" w:cs="Tahoma"/>
          <w:sz w:val="22"/>
          <w:szCs w:val="22"/>
        </w:rPr>
        <w:t>.</w:t>
      </w:r>
    </w:p>
    <w:p w14:paraId="67F4A34C" w14:textId="795F3B73" w:rsidR="00C57DFE" w:rsidRPr="001D5AE2" w:rsidRDefault="00C9283A" w:rsidP="001542E4">
      <w:pPr>
        <w:pStyle w:val="ListParagraph"/>
        <w:numPr>
          <w:ilvl w:val="0"/>
          <w:numId w:val="33"/>
        </w:numPr>
        <w:spacing w:line="360" w:lineRule="auto"/>
        <w:jc w:val="both"/>
        <w:rPr>
          <w:rFonts w:ascii="Tahoma" w:eastAsiaTheme="minorHAnsi" w:hAnsi="Tahoma" w:cs="Tahoma"/>
          <w:sz w:val="22"/>
          <w:szCs w:val="22"/>
        </w:rPr>
      </w:pPr>
      <w:r w:rsidRPr="001D5AE2">
        <w:rPr>
          <w:rFonts w:ascii="Tahoma" w:eastAsiaTheme="minorHAnsi" w:hAnsi="Tahoma" w:cs="Tahoma"/>
          <w:sz w:val="22"/>
          <w:szCs w:val="22"/>
        </w:rPr>
        <w:t>S1</w:t>
      </w:r>
      <w:r w:rsidR="00C57DFE" w:rsidRPr="001D5AE2">
        <w:rPr>
          <w:rFonts w:ascii="Tahoma" w:eastAsiaTheme="minorHAnsi" w:hAnsi="Tahoma" w:cs="Tahoma"/>
          <w:sz w:val="22"/>
          <w:szCs w:val="22"/>
        </w:rPr>
        <w:t xml:space="preserve"> has the lowest cost</w:t>
      </w:r>
      <w:r w:rsidR="00753D71" w:rsidRPr="001D5AE2">
        <w:rPr>
          <w:rFonts w:ascii="Tahoma" w:eastAsiaTheme="minorHAnsi" w:hAnsi="Tahoma" w:cs="Tahoma"/>
          <w:sz w:val="22"/>
          <w:szCs w:val="22"/>
        </w:rPr>
        <w:t xml:space="preserve">s and risks of </w:t>
      </w:r>
      <w:r w:rsidR="00A0703F" w:rsidRPr="001D5AE2">
        <w:rPr>
          <w:rFonts w:ascii="Tahoma" w:eastAsiaTheme="minorHAnsi" w:hAnsi="Tahoma" w:cs="Tahoma"/>
          <w:sz w:val="22"/>
          <w:szCs w:val="22"/>
        </w:rPr>
        <w:t xml:space="preserve">14.44 </w:t>
      </w:r>
      <w:r w:rsidRPr="001D5AE2">
        <w:rPr>
          <w:rFonts w:ascii="Tahoma" w:eastAsiaTheme="minorHAnsi" w:hAnsi="Tahoma" w:cs="Tahoma"/>
          <w:sz w:val="22"/>
          <w:szCs w:val="22"/>
        </w:rPr>
        <w:t xml:space="preserve">percent and </w:t>
      </w:r>
      <w:r w:rsidR="00A0703F" w:rsidRPr="001D5AE2">
        <w:rPr>
          <w:rFonts w:ascii="Tahoma" w:eastAsiaTheme="minorHAnsi" w:hAnsi="Tahoma" w:cs="Tahoma"/>
          <w:sz w:val="22"/>
          <w:szCs w:val="22"/>
        </w:rPr>
        <w:t xml:space="preserve">4.32 </w:t>
      </w:r>
      <w:r w:rsidR="00753D71" w:rsidRPr="001D5AE2">
        <w:rPr>
          <w:rFonts w:ascii="Tahoma" w:eastAsiaTheme="minorHAnsi" w:hAnsi="Tahoma" w:cs="Tahoma"/>
          <w:sz w:val="22"/>
          <w:szCs w:val="22"/>
        </w:rPr>
        <w:t xml:space="preserve">percent </w:t>
      </w:r>
      <w:r w:rsidR="001D23A6" w:rsidRPr="001D5AE2">
        <w:rPr>
          <w:rFonts w:ascii="Tahoma" w:eastAsiaTheme="minorHAnsi" w:hAnsi="Tahoma" w:cs="Tahoma"/>
          <w:sz w:val="22"/>
          <w:szCs w:val="22"/>
        </w:rPr>
        <w:t>under the Debt Service to Revenue</w:t>
      </w:r>
      <w:r w:rsidR="00753D71" w:rsidRPr="001D5AE2">
        <w:rPr>
          <w:rFonts w:ascii="Tahoma" w:eastAsiaTheme="minorHAnsi" w:hAnsi="Tahoma" w:cs="Tahoma"/>
          <w:sz w:val="22"/>
          <w:szCs w:val="22"/>
        </w:rPr>
        <w:t xml:space="preserve"> </w:t>
      </w:r>
      <w:r w:rsidR="00A0703F" w:rsidRPr="001D5AE2">
        <w:rPr>
          <w:rFonts w:ascii="Tahoma" w:eastAsiaTheme="minorHAnsi" w:hAnsi="Tahoma" w:cs="Tahoma"/>
          <w:sz w:val="22"/>
          <w:szCs w:val="22"/>
        </w:rPr>
        <w:t xml:space="preserve">ratio </w:t>
      </w:r>
      <w:r w:rsidR="00753D71" w:rsidRPr="001D5AE2">
        <w:rPr>
          <w:rFonts w:ascii="Tahoma" w:eastAsiaTheme="minorHAnsi" w:hAnsi="Tahoma" w:cs="Tahoma"/>
          <w:sz w:val="22"/>
          <w:szCs w:val="22"/>
        </w:rPr>
        <w:t xml:space="preserve">compared with </w:t>
      </w:r>
      <w:r w:rsidR="00C57DFE" w:rsidRPr="001D5AE2">
        <w:rPr>
          <w:rFonts w:ascii="Tahoma" w:eastAsiaTheme="minorHAnsi" w:hAnsi="Tahoma" w:cs="Tahoma"/>
          <w:sz w:val="22"/>
          <w:szCs w:val="22"/>
        </w:rPr>
        <w:t>S</w:t>
      </w:r>
      <w:r w:rsidR="001D23A6" w:rsidRPr="001D5AE2">
        <w:rPr>
          <w:rFonts w:ascii="Tahoma" w:eastAsiaTheme="minorHAnsi" w:hAnsi="Tahoma" w:cs="Tahoma"/>
          <w:sz w:val="22"/>
          <w:szCs w:val="22"/>
        </w:rPr>
        <w:t>2</w:t>
      </w:r>
      <w:r w:rsidR="00C57DFE" w:rsidRPr="001D5AE2">
        <w:rPr>
          <w:rFonts w:ascii="Tahoma" w:eastAsiaTheme="minorHAnsi" w:hAnsi="Tahoma" w:cs="Tahoma"/>
          <w:sz w:val="22"/>
          <w:szCs w:val="22"/>
        </w:rPr>
        <w:t xml:space="preserve"> </w:t>
      </w:r>
      <w:r w:rsidR="00753D71" w:rsidRPr="001D5AE2">
        <w:rPr>
          <w:rFonts w:ascii="Tahoma" w:eastAsiaTheme="minorHAnsi" w:hAnsi="Tahoma" w:cs="Tahoma"/>
          <w:sz w:val="22"/>
          <w:szCs w:val="22"/>
        </w:rPr>
        <w:t>with highest c</w:t>
      </w:r>
      <w:r w:rsidR="00C57DFE" w:rsidRPr="001D5AE2">
        <w:rPr>
          <w:rFonts w:ascii="Tahoma" w:eastAsiaTheme="minorHAnsi" w:hAnsi="Tahoma" w:cs="Tahoma"/>
          <w:sz w:val="22"/>
          <w:szCs w:val="22"/>
        </w:rPr>
        <w:t>ost</w:t>
      </w:r>
      <w:r w:rsidR="00753D71" w:rsidRPr="001D5AE2">
        <w:rPr>
          <w:rFonts w:ascii="Tahoma" w:eastAsiaTheme="minorHAnsi" w:hAnsi="Tahoma" w:cs="Tahoma"/>
          <w:sz w:val="22"/>
          <w:szCs w:val="22"/>
        </w:rPr>
        <w:t>s and risks</w:t>
      </w:r>
      <w:r w:rsidRPr="001D5AE2">
        <w:rPr>
          <w:rFonts w:ascii="Tahoma" w:eastAsiaTheme="minorHAnsi" w:hAnsi="Tahoma" w:cs="Tahoma"/>
          <w:sz w:val="22"/>
          <w:szCs w:val="22"/>
        </w:rPr>
        <w:t xml:space="preserve">, and the </w:t>
      </w:r>
      <w:r w:rsidR="00753D71" w:rsidRPr="001D5AE2">
        <w:rPr>
          <w:rFonts w:ascii="Tahoma" w:eastAsiaTheme="minorHAnsi" w:hAnsi="Tahoma" w:cs="Tahoma"/>
          <w:sz w:val="22"/>
          <w:szCs w:val="22"/>
        </w:rPr>
        <w:t xml:space="preserve">Strategy </w:t>
      </w:r>
      <w:r w:rsidR="00150C1C" w:rsidRPr="001D5AE2">
        <w:rPr>
          <w:rFonts w:ascii="Tahoma" w:eastAsiaTheme="minorHAnsi" w:hAnsi="Tahoma" w:cs="Tahoma"/>
          <w:sz w:val="22"/>
          <w:szCs w:val="22"/>
        </w:rPr>
        <w:t xml:space="preserve">3 and </w:t>
      </w:r>
      <w:r w:rsidR="00753D71" w:rsidRPr="001D5AE2">
        <w:rPr>
          <w:rFonts w:ascii="Tahoma" w:eastAsiaTheme="minorHAnsi" w:hAnsi="Tahoma" w:cs="Tahoma"/>
          <w:sz w:val="22"/>
          <w:szCs w:val="22"/>
        </w:rPr>
        <w:t>are considered as the moderate strategy by the end of strategy period</w:t>
      </w:r>
      <w:r w:rsidR="001D23A6" w:rsidRPr="001D5AE2">
        <w:rPr>
          <w:rFonts w:ascii="Tahoma" w:eastAsiaTheme="minorHAnsi" w:hAnsi="Tahoma" w:cs="Tahoma"/>
          <w:sz w:val="22"/>
          <w:szCs w:val="22"/>
        </w:rPr>
        <w:t>.</w:t>
      </w:r>
      <w:r w:rsidR="00C57DFE" w:rsidRPr="001D5AE2">
        <w:rPr>
          <w:rFonts w:ascii="Tahoma" w:eastAsiaTheme="minorHAnsi" w:hAnsi="Tahoma" w:cs="Tahoma"/>
          <w:sz w:val="22"/>
          <w:szCs w:val="22"/>
        </w:rPr>
        <w:t xml:space="preserve"> </w:t>
      </w:r>
    </w:p>
    <w:p w14:paraId="5B12AC9B" w14:textId="3F0130F5" w:rsidR="00DA7F7D" w:rsidRPr="001D5AE2" w:rsidRDefault="0050473F" w:rsidP="00DA7F7D">
      <w:pPr>
        <w:spacing w:after="0" w:line="360" w:lineRule="auto"/>
        <w:jc w:val="both"/>
        <w:rPr>
          <w:rFonts w:ascii="Tahoma" w:hAnsi="Tahoma" w:cs="Tahoma"/>
          <w:bCs/>
          <w:iCs/>
          <w:color w:val="000000" w:themeColor="text1"/>
        </w:rPr>
      </w:pPr>
      <w:r w:rsidRPr="001D5AE2">
        <w:rPr>
          <w:noProof/>
        </w:rPr>
        <w:lastRenderedPageBreak/>
        <w:drawing>
          <wp:inline distT="0" distB="0" distL="0" distR="0" wp14:anchorId="5AE36FFE" wp14:editId="4EADC3EA">
            <wp:extent cx="5943600" cy="2306955"/>
            <wp:effectExtent l="0" t="0" r="0" b="0"/>
            <wp:docPr id="697728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306955"/>
                    </a:xfrm>
                    <a:prstGeom prst="rect">
                      <a:avLst/>
                    </a:prstGeom>
                    <a:noFill/>
                    <a:ln>
                      <a:noFill/>
                    </a:ln>
                  </pic:spPr>
                </pic:pic>
              </a:graphicData>
            </a:graphic>
          </wp:inline>
        </w:drawing>
      </w:r>
    </w:p>
    <w:p w14:paraId="74A9A4E1" w14:textId="77777777" w:rsidR="00DA7F7D" w:rsidRPr="001D5AE2" w:rsidRDefault="00DA7F7D" w:rsidP="00DA7F7D">
      <w:pPr>
        <w:pStyle w:val="ListParagraph"/>
        <w:spacing w:after="0" w:line="360" w:lineRule="auto"/>
        <w:ind w:left="426"/>
        <w:jc w:val="both"/>
        <w:rPr>
          <w:rFonts w:ascii="Tahoma" w:hAnsi="Tahoma" w:cs="Tahoma"/>
          <w:bCs/>
          <w:iCs/>
          <w:color w:val="000000" w:themeColor="text1"/>
        </w:rPr>
      </w:pPr>
    </w:p>
    <w:p w14:paraId="1E2FF9D8" w14:textId="53BC2A25" w:rsidR="001D23A6" w:rsidRPr="001D5AE2" w:rsidRDefault="00C57DFE" w:rsidP="00C57DFE">
      <w:pPr>
        <w:pStyle w:val="ListParagraph"/>
        <w:numPr>
          <w:ilvl w:val="0"/>
          <w:numId w:val="28"/>
        </w:numPr>
        <w:spacing w:after="0" w:line="360" w:lineRule="auto"/>
        <w:ind w:left="426" w:hanging="426"/>
        <w:jc w:val="both"/>
        <w:rPr>
          <w:rFonts w:ascii="Tahoma" w:hAnsi="Tahoma" w:cs="Tahoma"/>
          <w:bCs/>
          <w:iCs/>
          <w:color w:val="000000" w:themeColor="text1"/>
        </w:rPr>
      </w:pPr>
      <w:r w:rsidRPr="001D5AE2">
        <w:rPr>
          <w:rFonts w:ascii="Tahoma" w:hAnsi="Tahoma" w:cs="Tahoma"/>
          <w:b/>
          <w:iCs/>
          <w:color w:val="000000" w:themeColor="text1"/>
          <w:sz w:val="22"/>
          <w:szCs w:val="22"/>
        </w:rPr>
        <w:t xml:space="preserve">Interest </w:t>
      </w:r>
      <w:r w:rsidR="003D1089" w:rsidRPr="001D5AE2">
        <w:rPr>
          <w:rFonts w:ascii="Tahoma" w:hAnsi="Tahoma" w:cs="Tahoma"/>
          <w:b/>
          <w:iCs/>
          <w:color w:val="000000" w:themeColor="text1"/>
          <w:sz w:val="22"/>
          <w:szCs w:val="22"/>
        </w:rPr>
        <w:t>as a share of Revenue</w:t>
      </w:r>
      <w:r w:rsidRPr="001D5AE2">
        <w:rPr>
          <w:rFonts w:ascii="Tahoma" w:hAnsi="Tahoma" w:cs="Tahoma"/>
          <w:bCs/>
          <w:iCs/>
          <w:color w:val="000000" w:themeColor="text1"/>
          <w:sz w:val="22"/>
          <w:szCs w:val="22"/>
        </w:rPr>
        <w:t xml:space="preserve"> </w:t>
      </w:r>
    </w:p>
    <w:p w14:paraId="6570C959" w14:textId="1B5CC33F" w:rsidR="00C57DFE" w:rsidRPr="001D5AE2" w:rsidRDefault="00C57DFE" w:rsidP="001D23A6">
      <w:pPr>
        <w:pStyle w:val="ListParagraph"/>
        <w:numPr>
          <w:ilvl w:val="0"/>
          <w:numId w:val="32"/>
        </w:numPr>
        <w:spacing w:after="0" w:line="360" w:lineRule="auto"/>
        <w:ind w:left="709" w:hanging="283"/>
        <w:jc w:val="both"/>
        <w:rPr>
          <w:rFonts w:ascii="Tahoma" w:eastAsiaTheme="minorHAnsi" w:hAnsi="Tahoma" w:cs="Tahoma"/>
          <w:sz w:val="22"/>
          <w:szCs w:val="22"/>
        </w:rPr>
      </w:pPr>
      <w:r w:rsidRPr="001D5AE2">
        <w:rPr>
          <w:rFonts w:ascii="Tahoma" w:eastAsiaTheme="minorHAnsi" w:hAnsi="Tahoma" w:cs="Tahoma"/>
          <w:sz w:val="22"/>
          <w:szCs w:val="22"/>
        </w:rPr>
        <w:t>S</w:t>
      </w:r>
      <w:r w:rsidR="00C9283A" w:rsidRPr="001D5AE2">
        <w:rPr>
          <w:rFonts w:ascii="Tahoma" w:eastAsiaTheme="minorHAnsi" w:hAnsi="Tahoma" w:cs="Tahoma"/>
          <w:sz w:val="22"/>
          <w:szCs w:val="22"/>
        </w:rPr>
        <w:t>1</w:t>
      </w:r>
      <w:r w:rsidRPr="001D5AE2">
        <w:rPr>
          <w:rFonts w:ascii="Tahoma" w:eastAsiaTheme="minorHAnsi" w:hAnsi="Tahoma" w:cs="Tahoma"/>
          <w:sz w:val="22"/>
          <w:szCs w:val="22"/>
        </w:rPr>
        <w:t xml:space="preserve"> is the least </w:t>
      </w:r>
      <w:r w:rsidR="00DA7B18" w:rsidRPr="001D5AE2">
        <w:rPr>
          <w:rFonts w:ascii="Tahoma" w:eastAsiaTheme="minorHAnsi" w:hAnsi="Tahoma" w:cs="Tahoma"/>
          <w:sz w:val="22"/>
          <w:szCs w:val="22"/>
        </w:rPr>
        <w:t xml:space="preserve">costly </w:t>
      </w:r>
      <w:r w:rsidR="00B7415D" w:rsidRPr="001D5AE2">
        <w:rPr>
          <w:rFonts w:ascii="Tahoma" w:eastAsiaTheme="minorHAnsi" w:hAnsi="Tahoma" w:cs="Tahoma"/>
          <w:sz w:val="22"/>
          <w:szCs w:val="22"/>
        </w:rPr>
        <w:t>and S</w:t>
      </w:r>
      <w:r w:rsidR="00DA7B18" w:rsidRPr="001D5AE2">
        <w:rPr>
          <w:rFonts w:ascii="Tahoma" w:eastAsiaTheme="minorHAnsi" w:hAnsi="Tahoma" w:cs="Tahoma"/>
          <w:sz w:val="22"/>
          <w:szCs w:val="22"/>
        </w:rPr>
        <w:t>2</w:t>
      </w:r>
      <w:r w:rsidR="00B7415D" w:rsidRPr="001D5AE2">
        <w:rPr>
          <w:rFonts w:ascii="Tahoma" w:eastAsiaTheme="minorHAnsi" w:hAnsi="Tahoma" w:cs="Tahoma"/>
          <w:sz w:val="22"/>
          <w:szCs w:val="22"/>
        </w:rPr>
        <w:t xml:space="preserve"> is least </w:t>
      </w:r>
      <w:r w:rsidR="00DA7B18" w:rsidRPr="001D5AE2">
        <w:rPr>
          <w:rFonts w:ascii="Tahoma" w:eastAsiaTheme="minorHAnsi" w:hAnsi="Tahoma" w:cs="Tahoma"/>
          <w:sz w:val="22"/>
          <w:szCs w:val="22"/>
        </w:rPr>
        <w:t xml:space="preserve">risky </w:t>
      </w:r>
      <w:r w:rsidRPr="001D5AE2">
        <w:rPr>
          <w:rFonts w:ascii="Tahoma" w:eastAsiaTheme="minorHAnsi" w:hAnsi="Tahoma" w:cs="Tahoma"/>
          <w:sz w:val="22"/>
          <w:szCs w:val="22"/>
        </w:rPr>
        <w:t xml:space="preserve">with regards </w:t>
      </w:r>
      <w:r w:rsidR="00F663A4" w:rsidRPr="001D5AE2">
        <w:rPr>
          <w:rFonts w:ascii="Tahoma" w:eastAsiaTheme="minorHAnsi" w:hAnsi="Tahoma" w:cs="Tahoma"/>
          <w:sz w:val="22"/>
          <w:szCs w:val="22"/>
        </w:rPr>
        <w:t xml:space="preserve">Interest </w:t>
      </w:r>
      <w:r w:rsidRPr="001D5AE2">
        <w:rPr>
          <w:rFonts w:ascii="Tahoma" w:eastAsiaTheme="minorHAnsi" w:hAnsi="Tahoma" w:cs="Tahoma"/>
          <w:sz w:val="22"/>
          <w:szCs w:val="22"/>
        </w:rPr>
        <w:t>to Government revenues</w:t>
      </w:r>
      <w:r w:rsidR="00F663A4" w:rsidRPr="001D5AE2">
        <w:rPr>
          <w:rFonts w:ascii="Tahoma" w:eastAsiaTheme="minorHAnsi" w:hAnsi="Tahoma" w:cs="Tahoma"/>
          <w:sz w:val="22"/>
          <w:szCs w:val="22"/>
        </w:rPr>
        <w:t xml:space="preserve">, which projected </w:t>
      </w:r>
      <w:r w:rsidR="005F3B79" w:rsidRPr="001D5AE2">
        <w:rPr>
          <w:rFonts w:ascii="Tahoma" w:eastAsiaTheme="minorHAnsi" w:hAnsi="Tahoma" w:cs="Tahoma"/>
          <w:sz w:val="22"/>
          <w:szCs w:val="22"/>
        </w:rPr>
        <w:t xml:space="preserve">at </w:t>
      </w:r>
      <w:r w:rsidR="003929D1" w:rsidRPr="001D5AE2">
        <w:rPr>
          <w:rFonts w:ascii="Tahoma" w:eastAsiaTheme="minorHAnsi" w:hAnsi="Tahoma" w:cs="Tahoma"/>
          <w:sz w:val="22"/>
          <w:szCs w:val="22"/>
        </w:rPr>
        <w:t xml:space="preserve">7.18 </w:t>
      </w:r>
      <w:r w:rsidR="005F3B79" w:rsidRPr="001D5AE2">
        <w:rPr>
          <w:rFonts w:ascii="Tahoma" w:eastAsiaTheme="minorHAnsi" w:hAnsi="Tahoma" w:cs="Tahoma"/>
          <w:sz w:val="22"/>
          <w:szCs w:val="22"/>
        </w:rPr>
        <w:t xml:space="preserve">percent and </w:t>
      </w:r>
      <w:r w:rsidR="00CE3DE0" w:rsidRPr="001D5AE2">
        <w:rPr>
          <w:rFonts w:ascii="Tahoma" w:eastAsiaTheme="minorHAnsi" w:hAnsi="Tahoma" w:cs="Tahoma"/>
          <w:sz w:val="22"/>
          <w:szCs w:val="22"/>
        </w:rPr>
        <w:t xml:space="preserve">5.00 </w:t>
      </w:r>
      <w:r w:rsidR="005F3B79" w:rsidRPr="001D5AE2">
        <w:rPr>
          <w:rFonts w:ascii="Tahoma" w:eastAsiaTheme="minorHAnsi" w:hAnsi="Tahoma" w:cs="Tahoma"/>
          <w:sz w:val="22"/>
          <w:szCs w:val="22"/>
        </w:rPr>
        <w:t>percent</w:t>
      </w:r>
      <w:r w:rsidRPr="001D5AE2">
        <w:rPr>
          <w:rFonts w:ascii="Tahoma" w:eastAsiaTheme="minorHAnsi" w:hAnsi="Tahoma" w:cs="Tahoma"/>
          <w:sz w:val="22"/>
          <w:szCs w:val="22"/>
        </w:rPr>
        <w:t>, whilst S</w:t>
      </w:r>
      <w:r w:rsidR="00DA7B18" w:rsidRPr="001D5AE2">
        <w:rPr>
          <w:rFonts w:ascii="Tahoma" w:eastAsiaTheme="minorHAnsi" w:hAnsi="Tahoma" w:cs="Tahoma"/>
          <w:sz w:val="22"/>
          <w:szCs w:val="22"/>
        </w:rPr>
        <w:t>2</w:t>
      </w:r>
      <w:r w:rsidRPr="001D5AE2">
        <w:rPr>
          <w:rFonts w:ascii="Tahoma" w:eastAsiaTheme="minorHAnsi" w:hAnsi="Tahoma" w:cs="Tahoma"/>
          <w:sz w:val="22"/>
          <w:szCs w:val="22"/>
        </w:rPr>
        <w:t xml:space="preserve"> </w:t>
      </w:r>
      <w:r w:rsidR="002C760A" w:rsidRPr="001D5AE2">
        <w:rPr>
          <w:rFonts w:ascii="Tahoma" w:eastAsiaTheme="minorHAnsi" w:hAnsi="Tahoma" w:cs="Tahoma"/>
          <w:sz w:val="22"/>
          <w:szCs w:val="22"/>
        </w:rPr>
        <w:t xml:space="preserve">measured as </w:t>
      </w:r>
      <w:r w:rsidRPr="001D5AE2">
        <w:rPr>
          <w:rFonts w:ascii="Tahoma" w:eastAsiaTheme="minorHAnsi" w:hAnsi="Tahoma" w:cs="Tahoma"/>
          <w:sz w:val="22"/>
          <w:szCs w:val="22"/>
        </w:rPr>
        <w:t>the</w:t>
      </w:r>
      <w:r w:rsidR="00CE3DE0" w:rsidRPr="001D5AE2">
        <w:rPr>
          <w:rFonts w:ascii="Tahoma" w:eastAsiaTheme="minorHAnsi" w:hAnsi="Tahoma" w:cs="Tahoma"/>
          <w:sz w:val="22"/>
          <w:szCs w:val="22"/>
        </w:rPr>
        <w:t xml:space="preserve"> </w:t>
      </w:r>
      <w:r w:rsidR="002C760A" w:rsidRPr="001D5AE2">
        <w:rPr>
          <w:rFonts w:ascii="Tahoma" w:eastAsiaTheme="minorHAnsi" w:hAnsi="Tahoma" w:cs="Tahoma"/>
          <w:sz w:val="22"/>
          <w:szCs w:val="22"/>
        </w:rPr>
        <w:t xml:space="preserve">costly </w:t>
      </w:r>
      <w:r w:rsidR="00932695" w:rsidRPr="001D5AE2">
        <w:rPr>
          <w:rFonts w:ascii="Tahoma" w:eastAsiaTheme="minorHAnsi" w:hAnsi="Tahoma" w:cs="Tahoma"/>
          <w:sz w:val="22"/>
          <w:szCs w:val="22"/>
        </w:rPr>
        <w:t xml:space="preserve">strategy </w:t>
      </w:r>
      <w:r w:rsidR="002C760A" w:rsidRPr="001D5AE2">
        <w:rPr>
          <w:rFonts w:ascii="Tahoma" w:eastAsiaTheme="minorHAnsi" w:hAnsi="Tahoma" w:cs="Tahoma"/>
          <w:sz w:val="22"/>
          <w:szCs w:val="22"/>
        </w:rPr>
        <w:t>and S</w:t>
      </w:r>
      <w:r w:rsidR="00932695" w:rsidRPr="001D5AE2">
        <w:rPr>
          <w:rFonts w:ascii="Tahoma" w:eastAsiaTheme="minorHAnsi" w:hAnsi="Tahoma" w:cs="Tahoma"/>
          <w:sz w:val="22"/>
          <w:szCs w:val="22"/>
        </w:rPr>
        <w:t xml:space="preserve">1 measured as the </w:t>
      </w:r>
      <w:r w:rsidR="00DA7F7D" w:rsidRPr="001D5AE2">
        <w:rPr>
          <w:rFonts w:ascii="Tahoma" w:eastAsiaTheme="minorHAnsi" w:hAnsi="Tahoma" w:cs="Tahoma"/>
          <w:sz w:val="22"/>
          <w:szCs w:val="22"/>
        </w:rPr>
        <w:t>riskiest</w:t>
      </w:r>
      <w:r w:rsidRPr="001D5AE2">
        <w:rPr>
          <w:rFonts w:ascii="Tahoma" w:eastAsiaTheme="minorHAnsi" w:hAnsi="Tahoma" w:cs="Tahoma"/>
          <w:sz w:val="22"/>
          <w:szCs w:val="22"/>
        </w:rPr>
        <w:t xml:space="preserve"> strategy</w:t>
      </w:r>
      <w:r w:rsidR="00F663A4" w:rsidRPr="001D5AE2">
        <w:rPr>
          <w:rFonts w:ascii="Tahoma" w:eastAsiaTheme="minorHAnsi" w:hAnsi="Tahoma" w:cs="Tahoma"/>
          <w:sz w:val="22"/>
          <w:szCs w:val="22"/>
        </w:rPr>
        <w:t xml:space="preserve"> </w:t>
      </w:r>
      <w:r w:rsidR="005F3B79" w:rsidRPr="001D5AE2">
        <w:rPr>
          <w:rFonts w:ascii="Tahoma" w:eastAsiaTheme="minorHAnsi" w:hAnsi="Tahoma" w:cs="Tahoma"/>
          <w:sz w:val="22"/>
          <w:szCs w:val="22"/>
        </w:rPr>
        <w:t xml:space="preserve">which estimated at </w:t>
      </w:r>
      <w:r w:rsidR="003422EF" w:rsidRPr="001D5AE2">
        <w:rPr>
          <w:rFonts w:ascii="Tahoma" w:eastAsiaTheme="minorHAnsi" w:hAnsi="Tahoma" w:cs="Tahoma"/>
          <w:sz w:val="22"/>
          <w:szCs w:val="22"/>
        </w:rPr>
        <w:t xml:space="preserve">11.93 </w:t>
      </w:r>
      <w:r w:rsidR="00F663A4" w:rsidRPr="001D5AE2">
        <w:rPr>
          <w:rFonts w:ascii="Tahoma" w:eastAsiaTheme="minorHAnsi" w:hAnsi="Tahoma" w:cs="Tahoma"/>
          <w:sz w:val="22"/>
          <w:szCs w:val="22"/>
        </w:rPr>
        <w:t>percent</w:t>
      </w:r>
      <w:r w:rsidR="0087216E" w:rsidRPr="001D5AE2">
        <w:rPr>
          <w:rFonts w:ascii="Tahoma" w:eastAsiaTheme="minorHAnsi" w:hAnsi="Tahoma" w:cs="Tahoma"/>
          <w:sz w:val="22"/>
          <w:szCs w:val="22"/>
        </w:rPr>
        <w:t xml:space="preserve"> and </w:t>
      </w:r>
      <w:r w:rsidR="003422EF" w:rsidRPr="001D5AE2">
        <w:rPr>
          <w:rFonts w:ascii="Tahoma" w:eastAsiaTheme="minorHAnsi" w:hAnsi="Tahoma" w:cs="Tahoma"/>
          <w:sz w:val="22"/>
          <w:szCs w:val="22"/>
        </w:rPr>
        <w:t xml:space="preserve">6.27 </w:t>
      </w:r>
      <w:r w:rsidR="0087216E" w:rsidRPr="001D5AE2">
        <w:rPr>
          <w:rFonts w:ascii="Tahoma" w:eastAsiaTheme="minorHAnsi" w:hAnsi="Tahoma" w:cs="Tahoma"/>
          <w:sz w:val="22"/>
          <w:szCs w:val="22"/>
        </w:rPr>
        <w:t>percent</w:t>
      </w:r>
      <w:r w:rsidR="00F663A4" w:rsidRPr="001D5AE2">
        <w:rPr>
          <w:rFonts w:ascii="Tahoma" w:eastAsiaTheme="minorHAnsi" w:hAnsi="Tahoma" w:cs="Tahoma"/>
          <w:sz w:val="22"/>
          <w:szCs w:val="22"/>
        </w:rPr>
        <w:t xml:space="preserve">, compared to </w:t>
      </w:r>
      <w:r w:rsidR="005739B9" w:rsidRPr="001D5AE2">
        <w:rPr>
          <w:rFonts w:ascii="Tahoma" w:eastAsiaTheme="minorHAnsi" w:hAnsi="Tahoma" w:cs="Tahoma"/>
          <w:sz w:val="22"/>
          <w:szCs w:val="22"/>
        </w:rPr>
        <w:t xml:space="preserve">S4 and </w:t>
      </w:r>
      <w:r w:rsidR="00F663A4" w:rsidRPr="001D5AE2">
        <w:rPr>
          <w:rFonts w:ascii="Tahoma" w:eastAsiaTheme="minorHAnsi" w:hAnsi="Tahoma" w:cs="Tahoma"/>
          <w:sz w:val="22"/>
          <w:szCs w:val="22"/>
        </w:rPr>
        <w:t>S</w:t>
      </w:r>
      <w:r w:rsidR="00DA7B18" w:rsidRPr="001D5AE2">
        <w:rPr>
          <w:rFonts w:ascii="Tahoma" w:eastAsiaTheme="minorHAnsi" w:hAnsi="Tahoma" w:cs="Tahoma"/>
          <w:sz w:val="22"/>
          <w:szCs w:val="22"/>
        </w:rPr>
        <w:t>3</w:t>
      </w:r>
      <w:r w:rsidR="005F3B79" w:rsidRPr="001D5AE2">
        <w:rPr>
          <w:rFonts w:ascii="Tahoma" w:eastAsiaTheme="minorHAnsi" w:hAnsi="Tahoma" w:cs="Tahoma"/>
          <w:sz w:val="22"/>
          <w:szCs w:val="22"/>
        </w:rPr>
        <w:t xml:space="preserve"> </w:t>
      </w:r>
      <w:r w:rsidR="00F663A4" w:rsidRPr="001D5AE2">
        <w:rPr>
          <w:rFonts w:ascii="Tahoma" w:eastAsiaTheme="minorHAnsi" w:hAnsi="Tahoma" w:cs="Tahoma"/>
          <w:sz w:val="22"/>
          <w:szCs w:val="22"/>
        </w:rPr>
        <w:t xml:space="preserve">with moderate costs of </w:t>
      </w:r>
      <w:r w:rsidR="001C3938" w:rsidRPr="001D5AE2">
        <w:rPr>
          <w:rFonts w:ascii="Tahoma" w:eastAsiaTheme="minorHAnsi" w:hAnsi="Tahoma" w:cs="Tahoma"/>
          <w:sz w:val="22"/>
          <w:szCs w:val="22"/>
        </w:rPr>
        <w:t xml:space="preserve">9.42 percent and </w:t>
      </w:r>
      <w:r w:rsidR="005739B9" w:rsidRPr="001D5AE2">
        <w:rPr>
          <w:rFonts w:ascii="Tahoma" w:eastAsiaTheme="minorHAnsi" w:hAnsi="Tahoma" w:cs="Tahoma"/>
          <w:sz w:val="22"/>
          <w:szCs w:val="22"/>
        </w:rPr>
        <w:t xml:space="preserve">10.19 </w:t>
      </w:r>
      <w:r w:rsidR="00F663A4" w:rsidRPr="001D5AE2">
        <w:rPr>
          <w:rFonts w:ascii="Tahoma" w:eastAsiaTheme="minorHAnsi" w:hAnsi="Tahoma" w:cs="Tahoma"/>
          <w:sz w:val="22"/>
          <w:szCs w:val="22"/>
        </w:rPr>
        <w:t xml:space="preserve">percent </w:t>
      </w:r>
      <w:r w:rsidR="0087216E" w:rsidRPr="001D5AE2">
        <w:rPr>
          <w:rFonts w:ascii="Tahoma" w:eastAsiaTheme="minorHAnsi" w:hAnsi="Tahoma" w:cs="Tahoma"/>
          <w:sz w:val="22"/>
          <w:szCs w:val="22"/>
        </w:rPr>
        <w:t xml:space="preserve">compared with </w:t>
      </w:r>
      <w:r w:rsidR="001C3938" w:rsidRPr="001D5AE2">
        <w:rPr>
          <w:rFonts w:ascii="Tahoma" w:eastAsiaTheme="minorHAnsi" w:hAnsi="Tahoma" w:cs="Tahoma"/>
          <w:sz w:val="22"/>
          <w:szCs w:val="22"/>
        </w:rPr>
        <w:t xml:space="preserve">the </w:t>
      </w:r>
      <w:r w:rsidR="0087216E" w:rsidRPr="001D5AE2">
        <w:rPr>
          <w:rFonts w:ascii="Tahoma" w:eastAsiaTheme="minorHAnsi" w:hAnsi="Tahoma" w:cs="Tahoma"/>
          <w:sz w:val="22"/>
          <w:szCs w:val="22"/>
        </w:rPr>
        <w:t xml:space="preserve">moderate </w:t>
      </w:r>
      <w:r w:rsidR="00F663A4" w:rsidRPr="001D5AE2">
        <w:rPr>
          <w:rFonts w:ascii="Tahoma" w:eastAsiaTheme="minorHAnsi" w:hAnsi="Tahoma" w:cs="Tahoma"/>
          <w:sz w:val="22"/>
          <w:szCs w:val="22"/>
        </w:rPr>
        <w:t xml:space="preserve">risks </w:t>
      </w:r>
      <w:r w:rsidR="003E5B41" w:rsidRPr="001D5AE2">
        <w:rPr>
          <w:rFonts w:ascii="Tahoma" w:eastAsiaTheme="minorHAnsi" w:hAnsi="Tahoma" w:cs="Tahoma"/>
          <w:sz w:val="22"/>
          <w:szCs w:val="22"/>
        </w:rPr>
        <w:t xml:space="preserve">5.46 </w:t>
      </w:r>
      <w:r w:rsidR="00F663A4" w:rsidRPr="001D5AE2">
        <w:rPr>
          <w:rFonts w:ascii="Tahoma" w:eastAsiaTheme="minorHAnsi" w:hAnsi="Tahoma" w:cs="Tahoma"/>
          <w:sz w:val="22"/>
          <w:szCs w:val="22"/>
        </w:rPr>
        <w:t xml:space="preserve">percent and </w:t>
      </w:r>
      <w:r w:rsidR="003E5B41" w:rsidRPr="001D5AE2">
        <w:rPr>
          <w:rFonts w:ascii="Tahoma" w:eastAsiaTheme="minorHAnsi" w:hAnsi="Tahoma" w:cs="Tahoma"/>
          <w:sz w:val="22"/>
          <w:szCs w:val="22"/>
        </w:rPr>
        <w:t xml:space="preserve">5.67 </w:t>
      </w:r>
      <w:r w:rsidR="00F663A4" w:rsidRPr="001D5AE2">
        <w:rPr>
          <w:rFonts w:ascii="Tahoma" w:eastAsiaTheme="minorHAnsi" w:hAnsi="Tahoma" w:cs="Tahoma"/>
          <w:sz w:val="22"/>
          <w:szCs w:val="22"/>
        </w:rPr>
        <w:t>percent, as at end of the strategic period</w:t>
      </w:r>
      <w:r w:rsidRPr="001D5AE2">
        <w:rPr>
          <w:rFonts w:ascii="Tahoma" w:eastAsiaTheme="minorHAnsi" w:hAnsi="Tahoma" w:cs="Tahoma"/>
          <w:sz w:val="22"/>
          <w:szCs w:val="22"/>
        </w:rPr>
        <w:t>.</w:t>
      </w:r>
    </w:p>
    <w:p w14:paraId="60C00902" w14:textId="77233BEC" w:rsidR="001D23A6" w:rsidRPr="001D5AE2" w:rsidRDefault="001D23A6" w:rsidP="003D1089">
      <w:pPr>
        <w:pStyle w:val="ListParagraph"/>
        <w:numPr>
          <w:ilvl w:val="0"/>
          <w:numId w:val="32"/>
        </w:numPr>
        <w:spacing w:line="360" w:lineRule="auto"/>
        <w:ind w:left="709" w:hanging="283"/>
        <w:jc w:val="both"/>
        <w:rPr>
          <w:rFonts w:ascii="Tahoma" w:eastAsiaTheme="minorHAnsi" w:hAnsi="Tahoma" w:cs="Tahoma"/>
          <w:sz w:val="22"/>
          <w:szCs w:val="22"/>
        </w:rPr>
      </w:pPr>
      <w:r w:rsidRPr="001D5AE2">
        <w:rPr>
          <w:rFonts w:ascii="Tahoma" w:eastAsiaTheme="minorHAnsi" w:hAnsi="Tahoma" w:cs="Tahoma"/>
          <w:sz w:val="22"/>
          <w:szCs w:val="22"/>
        </w:rPr>
        <w:t xml:space="preserve">The </w:t>
      </w:r>
      <w:r w:rsidR="00F663A4" w:rsidRPr="001D5AE2">
        <w:rPr>
          <w:rFonts w:ascii="Tahoma" w:eastAsiaTheme="minorHAnsi" w:hAnsi="Tahoma" w:cs="Tahoma"/>
          <w:sz w:val="22"/>
          <w:szCs w:val="22"/>
        </w:rPr>
        <w:t xml:space="preserve">analysis </w:t>
      </w:r>
      <w:r w:rsidRPr="001D5AE2">
        <w:rPr>
          <w:rFonts w:ascii="Tahoma" w:eastAsiaTheme="minorHAnsi" w:hAnsi="Tahoma" w:cs="Tahoma"/>
          <w:sz w:val="22"/>
          <w:szCs w:val="22"/>
        </w:rPr>
        <w:t xml:space="preserve">shows that </w:t>
      </w:r>
      <w:r w:rsidR="00DA7B18" w:rsidRPr="001D5AE2">
        <w:rPr>
          <w:rFonts w:ascii="Tahoma" w:eastAsiaTheme="minorHAnsi" w:hAnsi="Tahoma" w:cs="Tahoma"/>
          <w:sz w:val="22"/>
          <w:szCs w:val="22"/>
        </w:rPr>
        <w:t xml:space="preserve">the </w:t>
      </w:r>
      <w:r w:rsidRPr="001D5AE2">
        <w:rPr>
          <w:rFonts w:ascii="Tahoma" w:eastAsiaTheme="minorHAnsi" w:hAnsi="Tahoma" w:cs="Tahoma"/>
          <w:sz w:val="22"/>
          <w:szCs w:val="22"/>
        </w:rPr>
        <w:t>S</w:t>
      </w:r>
      <w:r w:rsidR="00DA7B18" w:rsidRPr="001D5AE2">
        <w:rPr>
          <w:rFonts w:ascii="Tahoma" w:eastAsiaTheme="minorHAnsi" w:hAnsi="Tahoma" w:cs="Tahoma"/>
          <w:sz w:val="22"/>
          <w:szCs w:val="22"/>
        </w:rPr>
        <w:t>1</w:t>
      </w:r>
      <w:r w:rsidRPr="001D5AE2">
        <w:rPr>
          <w:rFonts w:ascii="Tahoma" w:eastAsiaTheme="minorHAnsi" w:hAnsi="Tahoma" w:cs="Tahoma"/>
          <w:sz w:val="22"/>
          <w:szCs w:val="22"/>
        </w:rPr>
        <w:t xml:space="preserve"> </w:t>
      </w:r>
      <w:r w:rsidR="00DA7B18" w:rsidRPr="001D5AE2">
        <w:rPr>
          <w:rFonts w:ascii="Tahoma" w:eastAsiaTheme="minorHAnsi" w:hAnsi="Tahoma" w:cs="Tahoma"/>
          <w:sz w:val="22"/>
          <w:szCs w:val="22"/>
        </w:rPr>
        <w:t xml:space="preserve">has the lowest </w:t>
      </w:r>
      <w:r w:rsidRPr="001D5AE2">
        <w:rPr>
          <w:rFonts w:ascii="Tahoma" w:eastAsiaTheme="minorHAnsi" w:hAnsi="Tahoma" w:cs="Tahoma"/>
          <w:sz w:val="22"/>
          <w:szCs w:val="22"/>
        </w:rPr>
        <w:t xml:space="preserve">cost </w:t>
      </w:r>
      <w:r w:rsidR="00DA7B18" w:rsidRPr="001D5AE2">
        <w:rPr>
          <w:rFonts w:ascii="Tahoma" w:eastAsiaTheme="minorHAnsi" w:hAnsi="Tahoma" w:cs="Tahoma"/>
          <w:sz w:val="22"/>
          <w:szCs w:val="22"/>
        </w:rPr>
        <w:t>and risk</w:t>
      </w:r>
      <w:r w:rsidR="00EE5FF1" w:rsidRPr="001D5AE2">
        <w:rPr>
          <w:rFonts w:ascii="Tahoma" w:eastAsiaTheme="minorHAnsi" w:hAnsi="Tahoma" w:cs="Tahoma"/>
          <w:sz w:val="22"/>
          <w:szCs w:val="22"/>
        </w:rPr>
        <w:t>, c</w:t>
      </w:r>
      <w:r w:rsidR="00352E2E" w:rsidRPr="001D5AE2">
        <w:rPr>
          <w:rFonts w:ascii="Tahoma" w:eastAsiaTheme="minorHAnsi" w:hAnsi="Tahoma" w:cs="Tahoma"/>
          <w:sz w:val="22"/>
          <w:szCs w:val="22"/>
        </w:rPr>
        <w:t xml:space="preserve">ompared </w:t>
      </w:r>
      <w:r w:rsidR="00DA7B18" w:rsidRPr="001D5AE2">
        <w:rPr>
          <w:rFonts w:ascii="Tahoma" w:eastAsiaTheme="minorHAnsi" w:hAnsi="Tahoma" w:cs="Tahoma"/>
          <w:sz w:val="22"/>
          <w:szCs w:val="22"/>
        </w:rPr>
        <w:t xml:space="preserve">with the </w:t>
      </w:r>
      <w:r w:rsidR="00EE5FF1" w:rsidRPr="001D5AE2">
        <w:rPr>
          <w:rFonts w:ascii="Tahoma" w:eastAsiaTheme="minorHAnsi" w:hAnsi="Tahoma" w:cs="Tahoma"/>
          <w:sz w:val="22"/>
          <w:szCs w:val="22"/>
        </w:rPr>
        <w:t>S</w:t>
      </w:r>
      <w:r w:rsidR="00DA7B18" w:rsidRPr="001D5AE2">
        <w:rPr>
          <w:rFonts w:ascii="Tahoma" w:eastAsiaTheme="minorHAnsi" w:hAnsi="Tahoma" w:cs="Tahoma"/>
          <w:sz w:val="22"/>
          <w:szCs w:val="22"/>
        </w:rPr>
        <w:t>2</w:t>
      </w:r>
      <w:r w:rsidR="00EE5FF1" w:rsidRPr="001D5AE2">
        <w:rPr>
          <w:rFonts w:ascii="Tahoma" w:eastAsiaTheme="minorHAnsi" w:hAnsi="Tahoma" w:cs="Tahoma"/>
          <w:sz w:val="22"/>
          <w:szCs w:val="22"/>
        </w:rPr>
        <w:t xml:space="preserve">, </w:t>
      </w:r>
      <w:r w:rsidR="00352E2E" w:rsidRPr="001D5AE2">
        <w:rPr>
          <w:rFonts w:ascii="Tahoma" w:eastAsiaTheme="minorHAnsi" w:hAnsi="Tahoma" w:cs="Tahoma"/>
          <w:sz w:val="22"/>
          <w:szCs w:val="22"/>
        </w:rPr>
        <w:t>S</w:t>
      </w:r>
      <w:r w:rsidR="00DA7B18" w:rsidRPr="001D5AE2">
        <w:rPr>
          <w:rFonts w:ascii="Tahoma" w:eastAsiaTheme="minorHAnsi" w:hAnsi="Tahoma" w:cs="Tahoma"/>
          <w:sz w:val="22"/>
          <w:szCs w:val="22"/>
        </w:rPr>
        <w:t>3</w:t>
      </w:r>
      <w:r w:rsidR="00352E2E" w:rsidRPr="001D5AE2">
        <w:rPr>
          <w:rFonts w:ascii="Tahoma" w:eastAsiaTheme="minorHAnsi" w:hAnsi="Tahoma" w:cs="Tahoma"/>
          <w:sz w:val="22"/>
          <w:szCs w:val="22"/>
        </w:rPr>
        <w:t xml:space="preserve"> and S</w:t>
      </w:r>
      <w:r w:rsidR="00DA7B18" w:rsidRPr="001D5AE2">
        <w:rPr>
          <w:rFonts w:ascii="Tahoma" w:eastAsiaTheme="minorHAnsi" w:hAnsi="Tahoma" w:cs="Tahoma"/>
          <w:sz w:val="22"/>
          <w:szCs w:val="22"/>
        </w:rPr>
        <w:t>4</w:t>
      </w:r>
      <w:r w:rsidRPr="001D5AE2">
        <w:rPr>
          <w:rFonts w:ascii="Tahoma" w:eastAsiaTheme="minorHAnsi" w:hAnsi="Tahoma" w:cs="Tahoma"/>
          <w:sz w:val="22"/>
          <w:szCs w:val="22"/>
        </w:rPr>
        <w:t>.</w:t>
      </w:r>
    </w:p>
    <w:p w14:paraId="0BBA9185" w14:textId="21AD7156" w:rsidR="00DA7F7D" w:rsidRPr="001D5AE2" w:rsidRDefault="0056429D" w:rsidP="00DA7F7D">
      <w:pPr>
        <w:spacing w:line="360" w:lineRule="auto"/>
        <w:jc w:val="both"/>
        <w:rPr>
          <w:rFonts w:ascii="Tahoma" w:hAnsi="Tahoma" w:cs="Tahoma"/>
          <w:bCs/>
          <w:iCs/>
          <w:color w:val="000000" w:themeColor="text1"/>
        </w:rPr>
      </w:pPr>
      <w:r w:rsidRPr="001D5AE2">
        <w:rPr>
          <w:noProof/>
        </w:rPr>
        <w:drawing>
          <wp:inline distT="0" distB="0" distL="0" distR="0" wp14:anchorId="7600CB1C" wp14:editId="21C7255E">
            <wp:extent cx="5943600" cy="2306955"/>
            <wp:effectExtent l="0" t="0" r="0" b="0"/>
            <wp:docPr id="1166247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306955"/>
                    </a:xfrm>
                    <a:prstGeom prst="rect">
                      <a:avLst/>
                    </a:prstGeom>
                    <a:noFill/>
                    <a:ln>
                      <a:noFill/>
                    </a:ln>
                  </pic:spPr>
                </pic:pic>
              </a:graphicData>
            </a:graphic>
          </wp:inline>
        </w:drawing>
      </w:r>
    </w:p>
    <w:p w14:paraId="13EB7C51" w14:textId="0D307BE2" w:rsidR="007B7AF1" w:rsidRPr="001D5AE2" w:rsidRDefault="007B7AF1" w:rsidP="003B5227">
      <w:pPr>
        <w:spacing w:after="0" w:line="360" w:lineRule="auto"/>
        <w:rPr>
          <w:rFonts w:ascii="Tahoma" w:hAnsi="Tahoma" w:cs="Tahoma"/>
          <w:b/>
          <w:bCs/>
          <w:color w:val="0070C0"/>
        </w:rPr>
      </w:pPr>
      <w:bookmarkStart w:id="9" w:name="_Toc79503963"/>
      <w:r w:rsidRPr="001D5AE2">
        <w:rPr>
          <w:rFonts w:ascii="Tahoma" w:hAnsi="Tahoma" w:cs="Tahoma"/>
          <w:b/>
          <w:bCs/>
          <w:color w:val="0070C0"/>
        </w:rPr>
        <w:t>5.</w:t>
      </w:r>
      <w:r w:rsidR="006A26FB" w:rsidRPr="001D5AE2">
        <w:rPr>
          <w:rFonts w:ascii="Tahoma" w:hAnsi="Tahoma" w:cs="Tahoma"/>
          <w:b/>
          <w:bCs/>
          <w:color w:val="0070C0"/>
        </w:rPr>
        <w:t>3</w:t>
      </w:r>
      <w:r w:rsidRPr="001D5AE2">
        <w:rPr>
          <w:rFonts w:ascii="Tahoma" w:hAnsi="Tahoma" w:cs="Tahoma"/>
          <w:b/>
          <w:bCs/>
          <w:color w:val="0070C0"/>
        </w:rPr>
        <w:t xml:space="preserve"> DMS Assessment</w:t>
      </w:r>
      <w:bookmarkEnd w:id="9"/>
    </w:p>
    <w:p w14:paraId="26C667E6" w14:textId="5B9CE4E9" w:rsidR="0092288A" w:rsidRPr="001D5AE2" w:rsidRDefault="0092288A" w:rsidP="0092288A">
      <w:pPr>
        <w:spacing w:line="360" w:lineRule="auto"/>
        <w:jc w:val="both"/>
        <w:rPr>
          <w:rFonts w:ascii="Tahoma" w:hAnsi="Tahoma" w:cs="Tahoma"/>
        </w:rPr>
      </w:pPr>
      <w:r w:rsidRPr="001D5AE2">
        <w:rPr>
          <w:rFonts w:ascii="Tahoma" w:hAnsi="Tahoma" w:cs="Tahoma"/>
          <w:bCs/>
        </w:rPr>
        <w:t xml:space="preserve">The </w:t>
      </w:r>
      <w:r w:rsidRPr="001D5AE2">
        <w:rPr>
          <w:rFonts w:ascii="Tahoma" w:hAnsi="Tahoma" w:cs="Tahoma"/>
        </w:rPr>
        <w:t>preferred strategy was not solely based on the A</w:t>
      </w:r>
      <w:r w:rsidR="00252AFA" w:rsidRPr="001D5AE2">
        <w:rPr>
          <w:rFonts w:ascii="Tahoma" w:hAnsi="Tahoma" w:cs="Tahoma"/>
        </w:rPr>
        <w:t xml:space="preserve">nalytical </w:t>
      </w:r>
      <w:r w:rsidRPr="001D5AE2">
        <w:rPr>
          <w:rFonts w:ascii="Tahoma" w:hAnsi="Tahoma" w:cs="Tahoma"/>
        </w:rPr>
        <w:t>T</w:t>
      </w:r>
      <w:r w:rsidR="00252AFA" w:rsidRPr="001D5AE2">
        <w:rPr>
          <w:rFonts w:ascii="Tahoma" w:hAnsi="Tahoma" w:cs="Tahoma"/>
        </w:rPr>
        <w:t>ool</w:t>
      </w:r>
      <w:r w:rsidRPr="001D5AE2">
        <w:rPr>
          <w:rFonts w:ascii="Tahoma" w:hAnsi="Tahoma" w:cs="Tahoma"/>
        </w:rPr>
        <w:t xml:space="preserve"> assessment of all four strategies but took into consideration the ability to implement the chosen strategy successfully in the medium-term. Therefore, although</w:t>
      </w:r>
      <w:r w:rsidRPr="001D5AE2">
        <w:rPr>
          <w:rFonts w:ascii="Tahoma" w:hAnsi="Tahoma" w:cs="Tahoma"/>
          <w:bCs/>
        </w:rPr>
        <w:t xml:space="preserve"> the A</w:t>
      </w:r>
      <w:r w:rsidR="00252AFA" w:rsidRPr="001D5AE2">
        <w:rPr>
          <w:rFonts w:ascii="Tahoma" w:hAnsi="Tahoma" w:cs="Tahoma"/>
          <w:bCs/>
        </w:rPr>
        <w:t xml:space="preserve">nalytical </w:t>
      </w:r>
      <w:r w:rsidRPr="001D5AE2">
        <w:rPr>
          <w:rFonts w:ascii="Tahoma" w:hAnsi="Tahoma" w:cs="Tahoma"/>
          <w:bCs/>
        </w:rPr>
        <w:t>T</w:t>
      </w:r>
      <w:r w:rsidR="00252AFA" w:rsidRPr="001D5AE2">
        <w:rPr>
          <w:rFonts w:ascii="Tahoma" w:hAnsi="Tahoma" w:cs="Tahoma"/>
          <w:bCs/>
        </w:rPr>
        <w:t>ool</w:t>
      </w:r>
      <w:r w:rsidRPr="001D5AE2">
        <w:rPr>
          <w:rFonts w:ascii="Tahoma" w:hAnsi="Tahoma" w:cs="Tahoma"/>
          <w:bCs/>
        </w:rPr>
        <w:t xml:space="preserve">’s results of cost and risk would </w:t>
      </w:r>
      <w:r w:rsidRPr="001D5AE2">
        <w:rPr>
          <w:rFonts w:ascii="Tahoma" w:hAnsi="Tahoma" w:cs="Tahoma"/>
          <w:bCs/>
        </w:rPr>
        <w:lastRenderedPageBreak/>
        <w:t xml:space="preserve">suggest that the recommended strategy </w:t>
      </w:r>
      <w:r w:rsidR="00052D70" w:rsidRPr="001D5AE2">
        <w:rPr>
          <w:rFonts w:ascii="Tahoma" w:hAnsi="Tahoma" w:cs="Tahoma"/>
          <w:bCs/>
        </w:rPr>
        <w:t>is</w:t>
      </w:r>
      <w:r w:rsidRPr="001D5AE2">
        <w:rPr>
          <w:rFonts w:ascii="Tahoma" w:hAnsi="Tahoma" w:cs="Tahoma"/>
          <w:bCs/>
        </w:rPr>
        <w:t xml:space="preserve"> S</w:t>
      </w:r>
      <w:r w:rsidR="00384111" w:rsidRPr="001D5AE2">
        <w:rPr>
          <w:rFonts w:ascii="Tahoma" w:hAnsi="Tahoma" w:cs="Tahoma"/>
          <w:bCs/>
        </w:rPr>
        <w:t>1</w:t>
      </w:r>
      <w:r w:rsidRPr="001D5AE2">
        <w:rPr>
          <w:rFonts w:ascii="Tahoma" w:hAnsi="Tahoma" w:cs="Tahoma"/>
          <w:bCs/>
        </w:rPr>
        <w:t xml:space="preserve"> these results were just marginally better when compared with </w:t>
      </w:r>
      <w:r w:rsidR="00384111" w:rsidRPr="001D5AE2">
        <w:rPr>
          <w:rFonts w:ascii="Tahoma" w:hAnsi="Tahoma" w:cs="Tahoma"/>
          <w:bCs/>
        </w:rPr>
        <w:t xml:space="preserve">other </w:t>
      </w:r>
      <w:r w:rsidRPr="001D5AE2">
        <w:rPr>
          <w:rFonts w:ascii="Tahoma" w:hAnsi="Tahoma" w:cs="Tahoma"/>
          <w:bCs/>
        </w:rPr>
        <w:t>Strateg</w:t>
      </w:r>
      <w:r w:rsidR="00384111" w:rsidRPr="001D5AE2">
        <w:rPr>
          <w:rFonts w:ascii="Tahoma" w:hAnsi="Tahoma" w:cs="Tahoma"/>
          <w:bCs/>
        </w:rPr>
        <w:t>ies</w:t>
      </w:r>
      <w:r w:rsidRPr="001D5AE2">
        <w:rPr>
          <w:rFonts w:ascii="Tahoma" w:hAnsi="Tahoma" w:cs="Tahoma"/>
          <w:bCs/>
        </w:rPr>
        <w:t>.</w:t>
      </w:r>
      <w:r w:rsidRPr="001D5AE2">
        <w:rPr>
          <w:rFonts w:ascii="Tahoma" w:hAnsi="Tahoma" w:cs="Tahoma"/>
          <w:b/>
        </w:rPr>
        <w:t xml:space="preserve"> </w:t>
      </w:r>
      <w:r w:rsidR="007821A1" w:rsidRPr="001D5AE2">
        <w:rPr>
          <w:rFonts w:ascii="Tahoma" w:hAnsi="Tahoma" w:cs="Tahoma"/>
          <w:b/>
        </w:rPr>
        <w:t xml:space="preserve">It </w:t>
      </w:r>
      <w:r w:rsidR="00252AFA" w:rsidRPr="001D5AE2">
        <w:rPr>
          <w:rFonts w:ascii="Tahoma" w:hAnsi="Tahoma" w:cs="Tahoma"/>
          <w:b/>
        </w:rPr>
        <w:t>was</w:t>
      </w:r>
      <w:r w:rsidRPr="001D5AE2">
        <w:rPr>
          <w:rFonts w:ascii="Tahoma" w:hAnsi="Tahoma" w:cs="Tahoma"/>
          <w:b/>
        </w:rPr>
        <w:t xml:space="preserve"> considered that S</w:t>
      </w:r>
      <w:r w:rsidR="00252AFA" w:rsidRPr="001D5AE2">
        <w:rPr>
          <w:rFonts w:ascii="Tahoma" w:hAnsi="Tahoma" w:cs="Tahoma"/>
          <w:b/>
        </w:rPr>
        <w:t>1</w:t>
      </w:r>
      <w:r w:rsidRPr="001D5AE2">
        <w:rPr>
          <w:rFonts w:ascii="Tahoma" w:hAnsi="Tahoma" w:cs="Tahoma"/>
          <w:b/>
        </w:rPr>
        <w:t xml:space="preserve"> is the most feasible of the strategies to implement in the short-term and it would still greatly improve the portfolio’s debt position relative to the base year </w:t>
      </w:r>
      <w:r w:rsidR="00252AFA" w:rsidRPr="001D5AE2">
        <w:rPr>
          <w:rFonts w:ascii="Tahoma" w:hAnsi="Tahoma" w:cs="Tahoma"/>
          <w:b/>
        </w:rPr>
        <w:t>202</w:t>
      </w:r>
      <w:r w:rsidR="000874EC" w:rsidRPr="001D5AE2">
        <w:rPr>
          <w:rFonts w:ascii="Tahoma" w:hAnsi="Tahoma" w:cs="Tahoma"/>
          <w:b/>
        </w:rPr>
        <w:t>4</w:t>
      </w:r>
      <w:r w:rsidRPr="001D5AE2">
        <w:rPr>
          <w:rFonts w:ascii="Tahoma" w:hAnsi="Tahoma" w:cs="Tahoma"/>
          <w:bCs/>
        </w:rPr>
        <w:t>.</w:t>
      </w:r>
      <w:r w:rsidR="00735779" w:rsidRPr="001D5AE2">
        <w:rPr>
          <w:rFonts w:ascii="Tahoma" w:hAnsi="Tahoma" w:cs="Tahoma"/>
          <w:bCs/>
        </w:rPr>
        <w:t xml:space="preserve"> In line with the result, it is highly recommended that S1 should be considered in the medium Term in order to </w:t>
      </w:r>
      <w:r w:rsidR="00735779" w:rsidRPr="001D5AE2">
        <w:rPr>
          <w:rFonts w:ascii="Tahoma" w:hAnsi="Tahoma" w:cs="Tahoma"/>
        </w:rPr>
        <w:t>raise the required amount of funding at the lowest possible cost over the medium term, consistent with a prudent degree of risk.</w:t>
      </w:r>
    </w:p>
    <w:p w14:paraId="60E8F7DC" w14:textId="4A6CAB16" w:rsidR="00C23408" w:rsidRPr="001D5AE2" w:rsidRDefault="0092288A" w:rsidP="007D1260">
      <w:pPr>
        <w:spacing w:line="360" w:lineRule="auto"/>
        <w:jc w:val="both"/>
        <w:rPr>
          <w:rFonts w:ascii="Tahoma" w:hAnsi="Tahoma" w:cs="Tahoma"/>
        </w:rPr>
      </w:pPr>
      <w:r w:rsidRPr="001D5AE2">
        <w:rPr>
          <w:rFonts w:ascii="Tahoma" w:hAnsi="Tahoma" w:cs="Tahoma"/>
        </w:rPr>
        <w:t xml:space="preserve">In comparison to the </w:t>
      </w:r>
      <w:r w:rsidR="007456BE" w:rsidRPr="001D5AE2">
        <w:rPr>
          <w:rFonts w:ascii="Tahoma" w:hAnsi="Tahoma" w:cs="Tahoma"/>
        </w:rPr>
        <w:t xml:space="preserve">current debt </w:t>
      </w:r>
      <w:r w:rsidR="00D84599" w:rsidRPr="001D5AE2">
        <w:rPr>
          <w:rFonts w:ascii="Tahoma" w:hAnsi="Tahoma" w:cs="Tahoma"/>
        </w:rPr>
        <w:t xml:space="preserve">position, </w:t>
      </w:r>
      <w:r w:rsidR="00865C76" w:rsidRPr="001D5AE2">
        <w:rPr>
          <w:rFonts w:ascii="Tahoma" w:hAnsi="Tahoma" w:cs="Tahoma"/>
        </w:rPr>
        <w:t>Kebbi</w:t>
      </w:r>
      <w:r w:rsidR="00D84599" w:rsidRPr="001D5AE2">
        <w:rPr>
          <w:rFonts w:ascii="Tahoma" w:hAnsi="Tahoma" w:cs="Tahoma"/>
        </w:rPr>
        <w:t xml:space="preserve"> State debt portfolio stood at </w:t>
      </w:r>
      <w:r w:rsidR="000B1BA8" w:rsidRPr="001D5AE2">
        <w:rPr>
          <w:rFonts w:ascii="Tahoma" w:hAnsi="Tahoma" w:cs="Tahoma"/>
        </w:rPr>
        <w:t>N</w:t>
      </w:r>
      <w:r w:rsidR="007D1260" w:rsidRPr="001D5AE2">
        <w:rPr>
          <w:rFonts w:ascii="Tahoma" w:hAnsi="Tahoma" w:cs="Tahoma"/>
        </w:rPr>
        <w:t xml:space="preserve">75,962.95 </w:t>
      </w:r>
      <w:r w:rsidR="00D84599" w:rsidRPr="001D5AE2">
        <w:rPr>
          <w:rFonts w:ascii="Tahoma" w:hAnsi="Tahoma" w:cs="Tahoma"/>
        </w:rPr>
        <w:t>million</w:t>
      </w:r>
      <w:r w:rsidR="00CF60AE" w:rsidRPr="001D5AE2">
        <w:rPr>
          <w:rFonts w:ascii="Tahoma" w:hAnsi="Tahoma" w:cs="Tahoma"/>
        </w:rPr>
        <w:t xml:space="preserve"> as at end-202</w:t>
      </w:r>
      <w:r w:rsidR="007D1260" w:rsidRPr="001D5AE2">
        <w:rPr>
          <w:rFonts w:ascii="Tahoma" w:hAnsi="Tahoma" w:cs="Tahoma"/>
        </w:rPr>
        <w:t>3</w:t>
      </w:r>
      <w:r w:rsidR="00CF60AE" w:rsidRPr="001D5AE2">
        <w:rPr>
          <w:rFonts w:ascii="Tahoma" w:hAnsi="Tahoma" w:cs="Tahoma"/>
        </w:rPr>
        <w:t>, which expected an increase to N</w:t>
      </w:r>
      <w:r w:rsidR="00561BD2" w:rsidRPr="001D5AE2">
        <w:rPr>
          <w:rFonts w:ascii="Tahoma" w:hAnsi="Tahoma" w:cs="Tahoma"/>
        </w:rPr>
        <w:t xml:space="preserve">189,488.40 </w:t>
      </w:r>
      <w:r w:rsidR="00CF60AE" w:rsidRPr="001D5AE2">
        <w:rPr>
          <w:rFonts w:ascii="Tahoma" w:hAnsi="Tahoma" w:cs="Tahoma"/>
        </w:rPr>
        <w:t xml:space="preserve">million </w:t>
      </w:r>
      <w:r w:rsidR="002263BA" w:rsidRPr="001D5AE2">
        <w:rPr>
          <w:rFonts w:ascii="Tahoma" w:hAnsi="Tahoma" w:cs="Tahoma"/>
        </w:rPr>
        <w:t xml:space="preserve">under S1 during the strategic period, </w:t>
      </w:r>
      <w:r w:rsidR="000B1BA8" w:rsidRPr="001D5AE2">
        <w:rPr>
          <w:rFonts w:ascii="Tahoma" w:hAnsi="Tahoma" w:cs="Tahoma"/>
        </w:rPr>
        <w:t xml:space="preserve">compared to </w:t>
      </w:r>
      <w:r w:rsidR="002263BA" w:rsidRPr="001D5AE2">
        <w:rPr>
          <w:rFonts w:ascii="Tahoma" w:hAnsi="Tahoma" w:cs="Tahoma"/>
        </w:rPr>
        <w:t>S2 (N</w:t>
      </w:r>
      <w:r w:rsidR="00E642A9" w:rsidRPr="001D5AE2">
        <w:rPr>
          <w:rFonts w:ascii="Tahoma" w:hAnsi="Tahoma" w:cs="Tahoma"/>
        </w:rPr>
        <w:t xml:space="preserve">217,902.69 </w:t>
      </w:r>
      <w:r w:rsidR="00AF4E24" w:rsidRPr="001D5AE2">
        <w:rPr>
          <w:rFonts w:ascii="Tahoma" w:hAnsi="Tahoma" w:cs="Tahoma"/>
        </w:rPr>
        <w:t>million</w:t>
      </w:r>
      <w:r w:rsidR="002263BA" w:rsidRPr="001D5AE2">
        <w:rPr>
          <w:rFonts w:ascii="Tahoma" w:hAnsi="Tahoma" w:cs="Tahoma"/>
        </w:rPr>
        <w:t>), S</w:t>
      </w:r>
      <w:r w:rsidR="00404667" w:rsidRPr="001D5AE2">
        <w:rPr>
          <w:rFonts w:ascii="Tahoma" w:hAnsi="Tahoma" w:cs="Tahoma"/>
        </w:rPr>
        <w:t>3</w:t>
      </w:r>
      <w:r w:rsidR="002263BA" w:rsidRPr="001D5AE2">
        <w:rPr>
          <w:rFonts w:ascii="Tahoma" w:hAnsi="Tahoma" w:cs="Tahoma"/>
        </w:rPr>
        <w:t xml:space="preserve"> (N</w:t>
      </w:r>
      <w:r w:rsidR="00010FD7" w:rsidRPr="001D5AE2">
        <w:rPr>
          <w:rFonts w:ascii="Tahoma" w:hAnsi="Tahoma" w:cs="Tahoma"/>
        </w:rPr>
        <w:t xml:space="preserve">207,049.28 </w:t>
      </w:r>
      <w:r w:rsidR="002263BA" w:rsidRPr="001D5AE2">
        <w:rPr>
          <w:rFonts w:ascii="Tahoma" w:hAnsi="Tahoma" w:cs="Tahoma"/>
        </w:rPr>
        <w:t>million), and S4 (N</w:t>
      </w:r>
      <w:r w:rsidR="00F76F8C" w:rsidRPr="001D5AE2">
        <w:rPr>
          <w:rFonts w:ascii="Tahoma" w:hAnsi="Tahoma" w:cs="Tahoma"/>
        </w:rPr>
        <w:t xml:space="preserve">201,733.33 </w:t>
      </w:r>
      <w:r w:rsidR="002263BA" w:rsidRPr="001D5AE2">
        <w:rPr>
          <w:rFonts w:ascii="Tahoma" w:hAnsi="Tahoma" w:cs="Tahoma"/>
        </w:rPr>
        <w:t xml:space="preserve">million). </w:t>
      </w:r>
      <w:r w:rsidR="004044A4" w:rsidRPr="001D5AE2">
        <w:rPr>
          <w:rFonts w:ascii="Tahoma" w:hAnsi="Tahoma" w:cs="Tahoma"/>
        </w:rPr>
        <w:t>In addition to this, the cost/risk trade-offs are considered, using the debt to GDP, debt to revenue, debt service to GDP, debt service to revenue, interest to GDP and interest payment to GDP ratios</w:t>
      </w:r>
      <w:r w:rsidR="00ED6F0D" w:rsidRPr="001D5AE2">
        <w:rPr>
          <w:rFonts w:ascii="Tahoma" w:hAnsi="Tahoma" w:cs="Tahoma"/>
        </w:rPr>
        <w:t xml:space="preserve">, </w:t>
      </w:r>
      <w:r w:rsidR="004044A4" w:rsidRPr="001D5AE2">
        <w:rPr>
          <w:rFonts w:ascii="Tahoma" w:hAnsi="Tahoma" w:cs="Tahoma"/>
        </w:rPr>
        <w:t>S1 is selected as the preferred strategy for the 20</w:t>
      </w:r>
      <w:r w:rsidR="00ED6F0D" w:rsidRPr="001D5AE2">
        <w:rPr>
          <w:rFonts w:ascii="Tahoma" w:hAnsi="Tahoma" w:cs="Tahoma"/>
        </w:rPr>
        <w:t>2</w:t>
      </w:r>
      <w:r w:rsidR="00610F9A" w:rsidRPr="001D5AE2">
        <w:rPr>
          <w:rFonts w:ascii="Tahoma" w:hAnsi="Tahoma" w:cs="Tahoma"/>
        </w:rPr>
        <w:t>4</w:t>
      </w:r>
      <w:r w:rsidR="004044A4" w:rsidRPr="001D5AE2">
        <w:rPr>
          <w:rFonts w:ascii="Tahoma" w:hAnsi="Tahoma" w:cs="Tahoma"/>
        </w:rPr>
        <w:t>-202</w:t>
      </w:r>
      <w:r w:rsidR="00610F9A" w:rsidRPr="001D5AE2">
        <w:rPr>
          <w:rFonts w:ascii="Tahoma" w:hAnsi="Tahoma" w:cs="Tahoma"/>
        </w:rPr>
        <w:t>8</w:t>
      </w:r>
      <w:r w:rsidR="00ED6F0D" w:rsidRPr="001D5AE2">
        <w:rPr>
          <w:rFonts w:ascii="Tahoma" w:hAnsi="Tahoma" w:cs="Tahoma"/>
        </w:rPr>
        <w:t xml:space="preserve">. </w:t>
      </w:r>
    </w:p>
    <w:p w14:paraId="52143B36" w14:textId="77777777" w:rsidR="00126D1D" w:rsidRPr="001D5AE2" w:rsidRDefault="00C23408" w:rsidP="00126D1D">
      <w:pPr>
        <w:spacing w:line="360" w:lineRule="auto"/>
        <w:jc w:val="both"/>
        <w:rPr>
          <w:rFonts w:ascii="Tahoma" w:hAnsi="Tahoma" w:cs="Tahoma"/>
          <w:bCs/>
        </w:rPr>
      </w:pPr>
      <w:r w:rsidRPr="001D5AE2">
        <w:rPr>
          <w:rFonts w:ascii="Tahoma" w:hAnsi="Tahoma" w:cs="Tahoma"/>
          <w:bCs/>
        </w:rPr>
        <w:t xml:space="preserve">The </w:t>
      </w:r>
      <w:r w:rsidR="004044A4" w:rsidRPr="001D5AE2">
        <w:rPr>
          <w:rFonts w:ascii="Tahoma" w:hAnsi="Tahoma" w:cs="Tahoma"/>
          <w:bCs/>
        </w:rPr>
        <w:t xml:space="preserve">Debt </w:t>
      </w:r>
      <w:r w:rsidRPr="001D5AE2">
        <w:rPr>
          <w:rFonts w:ascii="Tahoma" w:hAnsi="Tahoma" w:cs="Tahoma"/>
          <w:bCs/>
        </w:rPr>
        <w:t>M</w:t>
      </w:r>
      <w:r w:rsidR="004044A4" w:rsidRPr="001D5AE2">
        <w:rPr>
          <w:rFonts w:ascii="Tahoma" w:hAnsi="Tahoma" w:cs="Tahoma"/>
          <w:bCs/>
        </w:rPr>
        <w:t xml:space="preserve">anagement </w:t>
      </w:r>
      <w:r w:rsidRPr="001D5AE2">
        <w:rPr>
          <w:rFonts w:ascii="Tahoma" w:hAnsi="Tahoma" w:cs="Tahoma"/>
          <w:bCs/>
        </w:rPr>
        <w:t>S</w:t>
      </w:r>
      <w:r w:rsidR="004044A4" w:rsidRPr="001D5AE2">
        <w:rPr>
          <w:rFonts w:ascii="Tahoma" w:hAnsi="Tahoma" w:cs="Tahoma"/>
          <w:bCs/>
        </w:rPr>
        <w:t xml:space="preserve">trategy, </w:t>
      </w:r>
      <w:r w:rsidRPr="001D5AE2">
        <w:rPr>
          <w:rFonts w:ascii="Tahoma" w:hAnsi="Tahoma" w:cs="Tahoma"/>
          <w:bCs/>
        </w:rPr>
        <w:t>202</w:t>
      </w:r>
      <w:r w:rsidR="00610F9A" w:rsidRPr="001D5AE2">
        <w:rPr>
          <w:rFonts w:ascii="Tahoma" w:hAnsi="Tahoma" w:cs="Tahoma"/>
          <w:bCs/>
        </w:rPr>
        <w:t>4</w:t>
      </w:r>
      <w:r w:rsidRPr="001D5AE2">
        <w:rPr>
          <w:rFonts w:ascii="Tahoma" w:hAnsi="Tahoma" w:cs="Tahoma"/>
          <w:bCs/>
        </w:rPr>
        <w:t>-202</w:t>
      </w:r>
      <w:r w:rsidR="00610F9A" w:rsidRPr="001D5AE2">
        <w:rPr>
          <w:rFonts w:ascii="Tahoma" w:hAnsi="Tahoma" w:cs="Tahoma"/>
          <w:bCs/>
        </w:rPr>
        <w:t>8</w:t>
      </w:r>
      <w:r w:rsidRPr="001D5AE2">
        <w:rPr>
          <w:rFonts w:ascii="Tahoma" w:hAnsi="Tahoma" w:cs="Tahoma"/>
          <w:bCs/>
        </w:rPr>
        <w:t xml:space="preserve"> represents a robust framework for prudent debt management, as it provides a systematic approach to decision making on the appropriate composition of external and domestic borrowing to finance the 202</w:t>
      </w:r>
      <w:r w:rsidR="00610F9A" w:rsidRPr="001D5AE2">
        <w:rPr>
          <w:rFonts w:ascii="Tahoma" w:hAnsi="Tahoma" w:cs="Tahoma"/>
          <w:bCs/>
        </w:rPr>
        <w:t>4</w:t>
      </w:r>
      <w:r w:rsidRPr="001D5AE2">
        <w:rPr>
          <w:rFonts w:ascii="Tahoma" w:hAnsi="Tahoma" w:cs="Tahoma"/>
          <w:bCs/>
        </w:rPr>
        <w:t xml:space="preserve"> budget. The cost-risk trade-off of alternative borrowing strategies under the </w:t>
      </w:r>
      <w:r w:rsidR="004044A4" w:rsidRPr="001D5AE2">
        <w:rPr>
          <w:rFonts w:ascii="Tahoma" w:hAnsi="Tahoma" w:cs="Tahoma"/>
          <w:bCs/>
        </w:rPr>
        <w:t xml:space="preserve">DMS </w:t>
      </w:r>
      <w:r w:rsidRPr="001D5AE2">
        <w:rPr>
          <w:rFonts w:ascii="Tahoma" w:hAnsi="Tahoma" w:cs="Tahoma"/>
          <w:bCs/>
        </w:rPr>
        <w:t>has been evaluated within the medium-term context.</w:t>
      </w:r>
    </w:p>
    <w:p w14:paraId="70C69973" w14:textId="77777777" w:rsidR="005E6052" w:rsidRPr="001D5AE2" w:rsidRDefault="005E6052" w:rsidP="00126D1D">
      <w:pPr>
        <w:spacing w:line="360" w:lineRule="auto"/>
        <w:jc w:val="both"/>
        <w:rPr>
          <w:rFonts w:ascii="Tahoma" w:hAnsi="Tahoma" w:cs="Tahoma"/>
          <w:bCs/>
        </w:rPr>
      </w:pPr>
    </w:p>
    <w:p w14:paraId="41747A25" w14:textId="77777777" w:rsidR="005E6052" w:rsidRPr="001D5AE2" w:rsidRDefault="005E6052" w:rsidP="00126D1D">
      <w:pPr>
        <w:spacing w:line="360" w:lineRule="auto"/>
        <w:jc w:val="both"/>
        <w:rPr>
          <w:rFonts w:ascii="Tahoma" w:hAnsi="Tahoma" w:cs="Tahoma"/>
          <w:bCs/>
        </w:rPr>
      </w:pPr>
    </w:p>
    <w:p w14:paraId="124D4DB9" w14:textId="77777777" w:rsidR="005E6052" w:rsidRPr="001D5AE2" w:rsidRDefault="005E6052" w:rsidP="00126D1D">
      <w:pPr>
        <w:spacing w:line="360" w:lineRule="auto"/>
        <w:jc w:val="both"/>
        <w:rPr>
          <w:rFonts w:ascii="Tahoma" w:hAnsi="Tahoma" w:cs="Tahoma"/>
          <w:bCs/>
        </w:rPr>
      </w:pPr>
    </w:p>
    <w:p w14:paraId="5C6B9C1E" w14:textId="77777777" w:rsidR="005E6052" w:rsidRPr="001D5AE2" w:rsidRDefault="005E6052" w:rsidP="00126D1D">
      <w:pPr>
        <w:spacing w:line="360" w:lineRule="auto"/>
        <w:jc w:val="both"/>
        <w:rPr>
          <w:rFonts w:ascii="Tahoma" w:hAnsi="Tahoma" w:cs="Tahoma"/>
          <w:bCs/>
        </w:rPr>
      </w:pPr>
    </w:p>
    <w:p w14:paraId="69804038" w14:textId="77777777" w:rsidR="005E6052" w:rsidRPr="001D5AE2" w:rsidRDefault="005E6052" w:rsidP="00126D1D">
      <w:pPr>
        <w:spacing w:line="360" w:lineRule="auto"/>
        <w:jc w:val="both"/>
        <w:rPr>
          <w:rFonts w:ascii="Tahoma" w:hAnsi="Tahoma" w:cs="Tahoma"/>
          <w:bCs/>
        </w:rPr>
      </w:pPr>
    </w:p>
    <w:p w14:paraId="610DDEEC" w14:textId="77777777" w:rsidR="005E6052" w:rsidRPr="001D5AE2" w:rsidRDefault="005E6052" w:rsidP="00126D1D">
      <w:pPr>
        <w:spacing w:line="360" w:lineRule="auto"/>
        <w:jc w:val="both"/>
        <w:rPr>
          <w:rFonts w:ascii="Tahoma" w:hAnsi="Tahoma" w:cs="Tahoma"/>
          <w:bCs/>
        </w:rPr>
      </w:pPr>
    </w:p>
    <w:p w14:paraId="37F3128E" w14:textId="77777777" w:rsidR="005E6052" w:rsidRPr="001D5AE2" w:rsidRDefault="005E6052" w:rsidP="00126D1D">
      <w:pPr>
        <w:spacing w:line="360" w:lineRule="auto"/>
        <w:jc w:val="both"/>
        <w:rPr>
          <w:rFonts w:ascii="Tahoma" w:hAnsi="Tahoma" w:cs="Tahoma"/>
          <w:bCs/>
        </w:rPr>
      </w:pPr>
    </w:p>
    <w:p w14:paraId="5821BF8B" w14:textId="77777777" w:rsidR="005E6052" w:rsidRPr="001D5AE2" w:rsidRDefault="005E6052" w:rsidP="00126D1D">
      <w:pPr>
        <w:spacing w:line="360" w:lineRule="auto"/>
        <w:jc w:val="both"/>
        <w:rPr>
          <w:rFonts w:ascii="Tahoma" w:hAnsi="Tahoma" w:cs="Tahoma"/>
          <w:bCs/>
        </w:rPr>
      </w:pPr>
    </w:p>
    <w:p w14:paraId="15FC1E47" w14:textId="77777777" w:rsidR="005E6052" w:rsidRPr="001D5AE2" w:rsidRDefault="005E6052" w:rsidP="00126D1D">
      <w:pPr>
        <w:spacing w:line="360" w:lineRule="auto"/>
        <w:jc w:val="both"/>
        <w:rPr>
          <w:rFonts w:ascii="Tahoma" w:hAnsi="Tahoma" w:cs="Tahoma"/>
          <w:bCs/>
        </w:rPr>
      </w:pPr>
    </w:p>
    <w:p w14:paraId="342A487C" w14:textId="77777777" w:rsidR="005E6052" w:rsidRPr="001D5AE2" w:rsidRDefault="005E6052" w:rsidP="00126D1D">
      <w:pPr>
        <w:spacing w:line="360" w:lineRule="auto"/>
        <w:jc w:val="both"/>
        <w:rPr>
          <w:rFonts w:ascii="Tahoma" w:hAnsi="Tahoma" w:cs="Tahoma"/>
          <w:bCs/>
        </w:rPr>
      </w:pPr>
    </w:p>
    <w:p w14:paraId="4890E6A0" w14:textId="31780188" w:rsidR="00126D1D" w:rsidRPr="001D5AE2" w:rsidRDefault="00126D1D" w:rsidP="005E6052">
      <w:pPr>
        <w:pStyle w:val="Heading1"/>
        <w:spacing w:before="0" w:line="360" w:lineRule="auto"/>
        <w:rPr>
          <w:rFonts w:ascii="Tahoma" w:hAnsi="Tahoma" w:cs="Tahoma"/>
          <w:b/>
          <w:bCs/>
          <w:color w:val="0070C0"/>
          <w:sz w:val="24"/>
          <w:szCs w:val="24"/>
        </w:rPr>
      </w:pPr>
      <w:bookmarkStart w:id="10" w:name="_Toc184224162"/>
      <w:r w:rsidRPr="001D5AE2">
        <w:rPr>
          <w:rFonts w:ascii="Tahoma" w:hAnsi="Tahoma" w:cs="Tahoma"/>
          <w:b/>
          <w:bCs/>
          <w:color w:val="0070C0"/>
          <w:sz w:val="24"/>
          <w:szCs w:val="24"/>
        </w:rPr>
        <w:lastRenderedPageBreak/>
        <w:t xml:space="preserve">Summary of </w:t>
      </w:r>
      <w:r w:rsidR="009F1405" w:rsidRPr="001D5AE2">
        <w:rPr>
          <w:rFonts w:ascii="Tahoma" w:hAnsi="Tahoma" w:cs="Tahoma"/>
          <w:b/>
          <w:bCs/>
          <w:color w:val="0070C0"/>
          <w:sz w:val="24"/>
          <w:szCs w:val="24"/>
        </w:rPr>
        <w:t>2024 DSA-DMS</w:t>
      </w:r>
      <w:bookmarkEnd w:id="10"/>
    </w:p>
    <w:p w14:paraId="3728B485" w14:textId="77777777" w:rsidR="009F1405" w:rsidRPr="001D5AE2" w:rsidRDefault="00126D1D" w:rsidP="00126D1D">
      <w:pPr>
        <w:spacing w:line="360" w:lineRule="auto"/>
        <w:jc w:val="both"/>
        <w:rPr>
          <w:rFonts w:ascii="Tahoma" w:hAnsi="Tahoma" w:cs="Tahoma"/>
          <w:bCs/>
        </w:rPr>
      </w:pPr>
      <w:r w:rsidRPr="001D5AE2">
        <w:rPr>
          <w:rFonts w:ascii="Tahoma" w:hAnsi="Tahoma" w:cs="Tahoma"/>
          <w:bCs/>
        </w:rPr>
        <w:t>The outcome of the 2024 DSA revealed that Kebbi State’s Total Debt remains at a Low Risk of Debt distress with substantial space to accommodate shocks. Kebbi State Risk Rating remains at a Moderate Risk of debt distress with capacity to accommodate shocks in Revenue, Expenditure, Exchange rate and Interest Rate. The ongoing efforts by the government towards improving revenue generation and diversifying the economy, through various initiatives and reforms in Tax Administration and Collections, as well as the Strategic Revenue Law, would improve the outlook for Total Debt with enhanced revenue performance. Thus, the Revenue indicators and Borrowing Space are expected to improve in the medium to long-term.</w:t>
      </w:r>
    </w:p>
    <w:p w14:paraId="38413C80" w14:textId="471DA7D1" w:rsidR="00C94047" w:rsidRDefault="00C94047" w:rsidP="00126D1D">
      <w:pPr>
        <w:spacing w:line="360" w:lineRule="auto"/>
        <w:jc w:val="both"/>
        <w:rPr>
          <w:rFonts w:ascii="Tahoma" w:hAnsi="Tahoma" w:cs="Tahoma"/>
          <w:bCs/>
        </w:rPr>
      </w:pPr>
      <w:r w:rsidRPr="001D5AE2">
        <w:rPr>
          <w:rFonts w:ascii="Tahoma" w:hAnsi="Tahoma" w:cs="Tahoma"/>
          <w:bCs/>
        </w:rPr>
        <w:t>The preferred strategy was not solely based on the Analytical Tool assessment of all four strategies but took into consideration the ability to implement the chosen strategy successfully in the medium-term. It was considered that S1 is the most feasible of the strategies to implement in the short term and it would still greatly improve the portfolio’s debt position relative to the base year 2024.</w:t>
      </w:r>
    </w:p>
    <w:p w14:paraId="0FE050C3" w14:textId="77777777" w:rsidR="001C6E48" w:rsidRPr="001D5AE2" w:rsidRDefault="001C6E48" w:rsidP="00126D1D">
      <w:pPr>
        <w:spacing w:line="360" w:lineRule="auto"/>
        <w:jc w:val="both"/>
        <w:rPr>
          <w:rFonts w:ascii="Tahoma" w:hAnsi="Tahoma" w:cs="Tahoma"/>
          <w:bCs/>
        </w:rPr>
        <w:sectPr w:rsidR="001C6E48" w:rsidRPr="001D5AE2" w:rsidSect="00375095">
          <w:pgSz w:w="12240" w:h="15840"/>
          <w:pgMar w:top="709" w:right="1440" w:bottom="1440" w:left="1440" w:header="720" w:footer="720" w:gutter="0"/>
          <w:cols w:space="720"/>
          <w:docGrid w:linePitch="360"/>
        </w:sectPr>
      </w:pPr>
    </w:p>
    <w:p w14:paraId="39BABCAA" w14:textId="77777777" w:rsidR="00856B93" w:rsidRPr="001D5AE2" w:rsidRDefault="00856B93" w:rsidP="001C6E48">
      <w:pPr>
        <w:pStyle w:val="Heading2"/>
        <w:spacing w:line="360" w:lineRule="auto"/>
        <w:jc w:val="both"/>
        <w:rPr>
          <w:rFonts w:ascii="Tahoma" w:hAnsi="Tahoma" w:cs="Tahoma"/>
          <w:b w:val="0"/>
          <w:bCs w:val="0"/>
          <w:color w:val="0070C0"/>
          <w:sz w:val="24"/>
          <w:szCs w:val="24"/>
        </w:rPr>
      </w:pPr>
      <w:bookmarkStart w:id="11" w:name="_Toc184224163"/>
      <w:r w:rsidRPr="001D5AE2">
        <w:rPr>
          <w:rFonts w:ascii="Tahoma" w:hAnsi="Tahoma" w:cs="Tahoma"/>
          <w:b w:val="0"/>
          <w:bCs w:val="0"/>
          <w:color w:val="0070C0"/>
          <w:sz w:val="24"/>
          <w:szCs w:val="24"/>
        </w:rPr>
        <w:lastRenderedPageBreak/>
        <w:t>Annex I: Baseline Assumptions</w:t>
      </w:r>
      <w:bookmarkEnd w:id="11"/>
    </w:p>
    <w:p w14:paraId="67EFEBE1" w14:textId="797F0418" w:rsidR="001A2F00" w:rsidRPr="001D5AE2" w:rsidRDefault="00A95912" w:rsidP="001C6E48">
      <w:pPr>
        <w:spacing w:line="360" w:lineRule="auto"/>
        <w:jc w:val="both"/>
        <w:rPr>
          <w:rFonts w:ascii="Tahoma" w:hAnsi="Tahoma" w:cs="Tahoma"/>
          <w:bCs/>
        </w:rPr>
      </w:pPr>
      <w:r w:rsidRPr="001D5AE2">
        <w:rPr>
          <w:rFonts w:ascii="Tahoma" w:hAnsi="Tahoma" w:cs="Tahoma"/>
          <w:b/>
        </w:rPr>
        <w:t>Statutory Allocations</w:t>
      </w:r>
      <w:r w:rsidRPr="001D5AE2">
        <w:rPr>
          <w:rFonts w:ascii="Tahoma" w:hAnsi="Tahoma" w:cs="Tahoma"/>
          <w:bCs/>
        </w:rPr>
        <w:t xml:space="preserve"> –</w:t>
      </w:r>
      <w:r w:rsidR="001A2F00" w:rsidRPr="001D5AE2">
        <w:rPr>
          <w:rFonts w:ascii="Tahoma" w:hAnsi="Tahoma" w:cs="Tahoma"/>
          <w:bCs/>
        </w:rPr>
        <w:t xml:space="preserve"> The forecast for the statutory allocation is based on the benchmarked oil price, exchange rate and the oil production Benchmark for the 3 years. Once they are </w:t>
      </w:r>
      <w:proofErr w:type="spellStart"/>
      <w:r w:rsidR="001A2F00" w:rsidRPr="001D5AE2">
        <w:rPr>
          <w:rFonts w:ascii="Tahoma" w:hAnsi="Tahoma" w:cs="Tahoma"/>
          <w:bCs/>
        </w:rPr>
        <w:t>actualised</w:t>
      </w:r>
      <w:proofErr w:type="spellEnd"/>
      <w:r w:rsidR="001A2F00" w:rsidRPr="001D5AE2">
        <w:rPr>
          <w:rFonts w:ascii="Tahoma" w:hAnsi="Tahoma" w:cs="Tahoma"/>
          <w:bCs/>
        </w:rPr>
        <w:t xml:space="preserve"> coupled with the subsidy removal, the State can receive the forecasted figures for cash allocation. It is based on historical mineral revenue flows and elasticity-based forecast was used.</w:t>
      </w:r>
    </w:p>
    <w:p w14:paraId="631EB97C" w14:textId="77777777" w:rsidR="00010650" w:rsidRPr="001D5AE2" w:rsidRDefault="00010650" w:rsidP="001C6E48">
      <w:pPr>
        <w:spacing w:line="360" w:lineRule="auto"/>
        <w:jc w:val="both"/>
        <w:rPr>
          <w:rFonts w:ascii="Tahoma" w:hAnsi="Tahoma" w:cs="Tahoma"/>
          <w:bCs/>
        </w:rPr>
      </w:pPr>
      <w:r w:rsidRPr="001D5AE2">
        <w:rPr>
          <w:rFonts w:ascii="Tahoma" w:hAnsi="Tahoma" w:cs="Tahoma"/>
          <w:b/>
        </w:rPr>
        <w:t>Other Federation Account receipts</w:t>
      </w:r>
      <w:r w:rsidRPr="001D5AE2">
        <w:rPr>
          <w:rFonts w:ascii="Tahoma" w:hAnsi="Tahoma" w:cs="Tahoma"/>
          <w:bCs/>
        </w:rPr>
        <w:t xml:space="preserve"> – the estimation is based on the historical trend (i.e. from 2017- 2022). The State is developing its mineral sector and is expected to receive more funds from derivation and other sources of funds.</w:t>
      </w:r>
    </w:p>
    <w:p w14:paraId="2CBEB665" w14:textId="4BE735A4" w:rsidR="00010650" w:rsidRPr="001D5AE2" w:rsidRDefault="00010650" w:rsidP="001C6E48">
      <w:pPr>
        <w:spacing w:line="360" w:lineRule="auto"/>
        <w:jc w:val="both"/>
        <w:rPr>
          <w:rFonts w:ascii="Tahoma" w:hAnsi="Tahoma" w:cs="Tahoma"/>
          <w:bCs/>
        </w:rPr>
      </w:pPr>
      <w:r w:rsidRPr="001D5AE2">
        <w:rPr>
          <w:rFonts w:ascii="Tahoma" w:hAnsi="Tahoma" w:cs="Tahoma"/>
          <w:b/>
        </w:rPr>
        <w:t>Value Added Tax (VAT)</w:t>
      </w:r>
      <w:r w:rsidRPr="001D5AE2">
        <w:rPr>
          <w:rFonts w:ascii="Tahoma" w:hAnsi="Tahoma" w:cs="Tahoma"/>
          <w:bCs/>
        </w:rPr>
        <w:t xml:space="preserve"> – elasticity based on the past performance is used to forecast VAT for 2024-2026. This forecast should be revisited if there are any changes to the VAT rates.</w:t>
      </w:r>
    </w:p>
    <w:p w14:paraId="53D8229D" w14:textId="5B550307" w:rsidR="00010650" w:rsidRPr="001D5AE2" w:rsidRDefault="00010650" w:rsidP="001C6E48">
      <w:pPr>
        <w:spacing w:line="360" w:lineRule="auto"/>
        <w:jc w:val="both"/>
        <w:rPr>
          <w:rFonts w:ascii="Tahoma" w:hAnsi="Tahoma" w:cs="Tahoma"/>
          <w:bCs/>
        </w:rPr>
      </w:pPr>
      <w:r w:rsidRPr="001D5AE2">
        <w:rPr>
          <w:rFonts w:ascii="Tahoma" w:hAnsi="Tahoma" w:cs="Tahoma"/>
          <w:b/>
        </w:rPr>
        <w:t>Internally Generated Revenue (IGR)</w:t>
      </w:r>
      <w:r w:rsidRPr="001D5AE2">
        <w:rPr>
          <w:rFonts w:ascii="Tahoma" w:hAnsi="Tahoma" w:cs="Tahoma"/>
          <w:bCs/>
        </w:rPr>
        <w:t xml:space="preserve"> – the current administration is improving on the ongoing measures to grow IGR. These measures have started yielding results as actual IGR for the current year is increasing. It is anticipated that IGR will continue to increase by 30% in the current year and start to stabilize from 2024 with a minimum annual growth of 30%. Own Percentage is therefore used to forecast IGR for 2024 – 2026.</w:t>
      </w:r>
    </w:p>
    <w:p w14:paraId="407A3207" w14:textId="77777777" w:rsidR="00CB11D7" w:rsidRPr="001D5AE2" w:rsidRDefault="00CB11D7" w:rsidP="001C6E48">
      <w:pPr>
        <w:spacing w:line="360" w:lineRule="auto"/>
        <w:jc w:val="both"/>
        <w:rPr>
          <w:rFonts w:ascii="Tahoma" w:hAnsi="Tahoma" w:cs="Tahoma"/>
          <w:bCs/>
        </w:rPr>
      </w:pPr>
      <w:r w:rsidRPr="001D5AE2">
        <w:rPr>
          <w:rFonts w:ascii="Tahoma" w:hAnsi="Tahoma" w:cs="Tahoma"/>
          <w:b/>
        </w:rPr>
        <w:lastRenderedPageBreak/>
        <w:t>Grants</w:t>
      </w:r>
      <w:r w:rsidRPr="001D5AE2">
        <w:rPr>
          <w:rFonts w:ascii="Tahoma" w:hAnsi="Tahoma" w:cs="Tahoma"/>
          <w:bCs/>
        </w:rPr>
        <w:t xml:space="preserve"> – The internal grants are based on the actual receipts for 2023 and performance from 2019 to 2023. External grants are based on signed grant agreements with the development partners.</w:t>
      </w:r>
    </w:p>
    <w:p w14:paraId="70D24E53" w14:textId="1C098B74" w:rsidR="00B6682B" w:rsidRPr="001D5AE2" w:rsidRDefault="00E40AB6" w:rsidP="001C6E48">
      <w:pPr>
        <w:spacing w:line="360" w:lineRule="auto"/>
        <w:jc w:val="both"/>
        <w:rPr>
          <w:rFonts w:ascii="Tahoma" w:hAnsi="Tahoma" w:cs="Tahoma"/>
          <w:bCs/>
        </w:rPr>
      </w:pPr>
      <w:r w:rsidRPr="001D5AE2">
        <w:rPr>
          <w:rFonts w:ascii="Tahoma" w:hAnsi="Tahoma" w:cs="Tahoma"/>
          <w:b/>
        </w:rPr>
        <w:t>Other Non-Debt Creating Capital Receipts</w:t>
      </w:r>
      <w:r w:rsidRPr="001D5AE2">
        <w:rPr>
          <w:rFonts w:ascii="Tahoma" w:hAnsi="Tahoma" w:cs="Tahoma"/>
          <w:bCs/>
        </w:rPr>
        <w:t xml:space="preserve"> </w:t>
      </w:r>
      <w:r w:rsidR="00C95350" w:rsidRPr="001D5AE2">
        <w:rPr>
          <w:rFonts w:ascii="Tahoma" w:hAnsi="Tahoma" w:cs="Tahoma"/>
          <w:bCs/>
        </w:rPr>
        <w:t xml:space="preserve">- </w:t>
      </w:r>
      <w:r w:rsidR="00CB11D7" w:rsidRPr="001D5AE2">
        <w:rPr>
          <w:rFonts w:ascii="Tahoma" w:hAnsi="Tahoma" w:cs="Tahoma"/>
          <w:bCs/>
        </w:rPr>
        <w:t>Sale of Govt Assets and Other Non-Debt creating Capital receipts are based on the actual receipts from 2019 to 2023</w:t>
      </w:r>
      <w:r w:rsidR="00B6682B" w:rsidRPr="001D5AE2">
        <w:rPr>
          <w:rFonts w:ascii="Tahoma" w:hAnsi="Tahoma" w:cs="Tahoma"/>
          <w:bCs/>
        </w:rPr>
        <w:t>.</w:t>
      </w:r>
      <w:r w:rsidR="007C0D05" w:rsidRPr="001D5AE2">
        <w:t xml:space="preserve"> </w:t>
      </w:r>
      <w:r w:rsidR="007C0D05" w:rsidRPr="001D5AE2">
        <w:rPr>
          <w:rFonts w:ascii="Tahoma" w:hAnsi="Tahoma" w:cs="Tahoma"/>
          <w:bCs/>
        </w:rPr>
        <w:t>36,700.0</w:t>
      </w:r>
    </w:p>
    <w:p w14:paraId="658B94F0" w14:textId="6E363202" w:rsidR="00F635B2" w:rsidRPr="001D5AE2" w:rsidRDefault="00F635B2" w:rsidP="001C6E48">
      <w:pPr>
        <w:spacing w:line="360" w:lineRule="auto"/>
        <w:jc w:val="both"/>
        <w:rPr>
          <w:rFonts w:ascii="Tahoma" w:hAnsi="Tahoma" w:cs="Tahoma"/>
          <w:bCs/>
        </w:rPr>
      </w:pPr>
      <w:r w:rsidRPr="001D5AE2">
        <w:rPr>
          <w:rFonts w:ascii="Tahoma" w:hAnsi="Tahoma" w:cs="Tahoma"/>
          <w:b/>
        </w:rPr>
        <w:t>Financing</w:t>
      </w:r>
      <w:r w:rsidRPr="001D5AE2">
        <w:rPr>
          <w:rFonts w:ascii="Tahoma" w:hAnsi="Tahoma" w:cs="Tahoma"/>
          <w:bCs/>
        </w:rPr>
        <w:t xml:space="preserve"> – </w:t>
      </w:r>
      <w:r w:rsidR="00962551" w:rsidRPr="001D5AE2">
        <w:rPr>
          <w:rFonts w:ascii="Tahoma" w:hAnsi="Tahoma" w:cs="Tahoma"/>
          <w:bCs/>
        </w:rPr>
        <w:t>Financing – Kebbi State intends to secure an external loan/borrowing of about US$5.1 million in 2024 out of the N36,700 million for 2024 proposed financing needs. All internal and external loans are projections based on signed agreements</w:t>
      </w:r>
      <w:r w:rsidRPr="001D5AE2">
        <w:rPr>
          <w:rFonts w:ascii="Tahoma" w:hAnsi="Tahoma" w:cs="Tahoma"/>
          <w:bCs/>
        </w:rPr>
        <w:t>.</w:t>
      </w:r>
      <w:r w:rsidR="00502004" w:rsidRPr="001D5AE2">
        <w:rPr>
          <w:rFonts w:ascii="Tahoma" w:hAnsi="Tahoma" w:cs="Tahoma"/>
          <w:bCs/>
        </w:rPr>
        <w:t xml:space="preserve"> </w:t>
      </w:r>
    </w:p>
    <w:p w14:paraId="1FDE8768" w14:textId="32453ABE" w:rsidR="00053B67" w:rsidRPr="001D5AE2" w:rsidRDefault="00F635B2" w:rsidP="001C6E48">
      <w:pPr>
        <w:spacing w:line="360" w:lineRule="auto"/>
        <w:jc w:val="both"/>
        <w:rPr>
          <w:rFonts w:ascii="Tahoma" w:hAnsi="Tahoma" w:cs="Tahoma"/>
          <w:bCs/>
        </w:rPr>
      </w:pPr>
      <w:r w:rsidRPr="001D5AE2">
        <w:rPr>
          <w:rFonts w:ascii="Tahoma" w:hAnsi="Tahoma" w:cs="Tahoma"/>
          <w:b/>
        </w:rPr>
        <w:t xml:space="preserve">Personnel </w:t>
      </w:r>
      <w:r w:rsidRPr="001D5AE2">
        <w:rPr>
          <w:rFonts w:ascii="Tahoma" w:hAnsi="Tahoma" w:cs="Tahoma"/>
          <w:bCs/>
        </w:rPr>
        <w:t>–</w:t>
      </w:r>
      <w:r w:rsidR="00053B67" w:rsidRPr="001D5AE2">
        <w:rPr>
          <w:rFonts w:ascii="Tahoma" w:hAnsi="Tahoma" w:cs="Tahoma"/>
          <w:bCs/>
        </w:rPr>
        <w:t>It is anticipated that there will be a new minimum wage before the end of 2023 to cushion the effect of the subsidy removal and naira devaluation which will impact on the wage bill from the fourth quarter of 2023. The projection is that total wage bill will increase by 10% in 2023, with a gradual increase of 15%, 18% and 22% over the 2024 – 2026 fiscal years.</w:t>
      </w:r>
    </w:p>
    <w:p w14:paraId="2C13BA64" w14:textId="77777777" w:rsidR="001C6E48" w:rsidRDefault="00053B67" w:rsidP="001C6E48">
      <w:pPr>
        <w:spacing w:line="360" w:lineRule="auto"/>
        <w:jc w:val="both"/>
        <w:rPr>
          <w:rFonts w:ascii="Tahoma" w:hAnsi="Tahoma" w:cs="Tahoma"/>
          <w:bCs/>
        </w:rPr>
      </w:pPr>
      <w:r w:rsidRPr="001D5AE2">
        <w:rPr>
          <w:rFonts w:ascii="Tahoma" w:hAnsi="Tahoma" w:cs="Tahoma"/>
          <w:b/>
        </w:rPr>
        <w:t>Overheads</w:t>
      </w:r>
      <w:r w:rsidRPr="001D5AE2">
        <w:rPr>
          <w:rFonts w:ascii="Tahoma" w:hAnsi="Tahoma" w:cs="Tahoma"/>
          <w:bCs/>
        </w:rPr>
        <w:t xml:space="preserve"> – Overhead has been relatively stable between 2017 and 2021 before the sharp increase in 2022. It is anticipated that it will increase further by 10% at the end of 2023. Consequently, own percentage method is used to forecast overhead for 2024, 2025 and 2026 (5%, 3% and 3% respectively).                                                                                                                                                                                                                                                          </w:t>
      </w:r>
      <w:r w:rsidR="001C6E48">
        <w:rPr>
          <w:rFonts w:ascii="Tahoma" w:hAnsi="Tahoma" w:cs="Tahoma"/>
          <w:bCs/>
        </w:rPr>
        <w:t xml:space="preserve">                             </w:t>
      </w:r>
    </w:p>
    <w:p w14:paraId="771D73D6" w14:textId="0BE25956" w:rsidR="00053B67" w:rsidRPr="001D5AE2" w:rsidRDefault="00053B67" w:rsidP="001C6E48">
      <w:pPr>
        <w:spacing w:line="360" w:lineRule="auto"/>
        <w:jc w:val="both"/>
        <w:rPr>
          <w:rFonts w:ascii="Tahoma" w:hAnsi="Tahoma" w:cs="Tahoma"/>
          <w:bCs/>
        </w:rPr>
      </w:pPr>
      <w:r w:rsidRPr="001D5AE2">
        <w:rPr>
          <w:rFonts w:ascii="Tahoma" w:hAnsi="Tahoma" w:cs="Tahoma"/>
          <w:b/>
        </w:rPr>
        <w:t>Social Contribution and Social Benefits</w:t>
      </w:r>
      <w:r w:rsidRPr="001D5AE2">
        <w:rPr>
          <w:rFonts w:ascii="Tahoma" w:hAnsi="Tahoma" w:cs="Tahoma"/>
          <w:bCs/>
        </w:rPr>
        <w:t xml:space="preserve"> – A substantial amount is being owed as pension and gratuity payment. It is appropriate to make adequate provision for these items and other social commitments. Hence, the own value, representing computation for outstanding commitments as well as estimation for next medium term is used.</w:t>
      </w:r>
    </w:p>
    <w:p w14:paraId="67DFF5F1" w14:textId="2C2345C7" w:rsidR="00F635B2" w:rsidRPr="001D5AE2" w:rsidRDefault="00F635B2" w:rsidP="001C6E48">
      <w:pPr>
        <w:spacing w:line="360" w:lineRule="auto"/>
        <w:jc w:val="both"/>
        <w:rPr>
          <w:rFonts w:ascii="Tahoma" w:hAnsi="Tahoma" w:cs="Tahoma"/>
          <w:bCs/>
        </w:rPr>
      </w:pPr>
      <w:r w:rsidRPr="001D5AE2">
        <w:rPr>
          <w:rFonts w:ascii="Tahoma" w:hAnsi="Tahoma" w:cs="Tahoma"/>
          <w:b/>
        </w:rPr>
        <w:t>Public Debt Service</w:t>
      </w:r>
      <w:r w:rsidRPr="001D5AE2">
        <w:rPr>
          <w:rFonts w:ascii="Tahoma" w:hAnsi="Tahoma" w:cs="Tahoma"/>
          <w:bCs/>
        </w:rPr>
        <w:t xml:space="preserve"> - </w:t>
      </w:r>
      <w:r w:rsidR="00990E48" w:rsidRPr="001D5AE2">
        <w:rPr>
          <w:rFonts w:ascii="Tahoma" w:hAnsi="Tahoma" w:cs="Tahoma"/>
          <w:bCs/>
        </w:rPr>
        <w:t>is based on the projected principal and interest repayments for 2024, 2025 and 2026.</w:t>
      </w:r>
    </w:p>
    <w:p w14:paraId="27BBF762" w14:textId="0BE18941" w:rsidR="00A454B5" w:rsidRPr="001D5AE2" w:rsidRDefault="0093295B" w:rsidP="001C6E48">
      <w:pPr>
        <w:spacing w:line="360" w:lineRule="auto"/>
        <w:jc w:val="both"/>
        <w:rPr>
          <w:rFonts w:ascii="Tahoma" w:hAnsi="Tahoma" w:cs="Tahoma"/>
          <w:bCs/>
        </w:rPr>
      </w:pPr>
      <w:r w:rsidRPr="001D5AE2">
        <w:rPr>
          <w:rFonts w:ascii="Tahoma" w:hAnsi="Tahoma" w:cs="Tahoma"/>
          <w:b/>
        </w:rPr>
        <w:t>Other Recurrent Expenditure (excluding Personnel Costs, Overhead Costs and Interest Payments)</w:t>
      </w:r>
      <w:r w:rsidRPr="001D5AE2">
        <w:rPr>
          <w:rFonts w:ascii="Tahoma" w:hAnsi="Tahoma" w:cs="Tahoma"/>
          <w:bCs/>
        </w:rPr>
        <w:t xml:space="preserve"> - </w:t>
      </w:r>
      <w:r w:rsidR="00A454B5" w:rsidRPr="001D5AE2">
        <w:rPr>
          <w:rFonts w:ascii="Tahoma" w:hAnsi="Tahoma" w:cs="Tahoma"/>
          <w:bCs/>
        </w:rPr>
        <w:t>Special programme is expected to increase marginally on the actual performance level of 2022. This trend is expected in the period of forecast and have been incorporated in the basis of the forecast for 2024 – 2026</w:t>
      </w:r>
    </w:p>
    <w:p w14:paraId="786C992C" w14:textId="710E1FA6" w:rsidR="00A454B5" w:rsidRPr="001D5AE2" w:rsidRDefault="00A454B5" w:rsidP="00A454B5">
      <w:pPr>
        <w:spacing w:line="360" w:lineRule="auto"/>
        <w:rPr>
          <w:rFonts w:ascii="Tahoma" w:hAnsi="Tahoma" w:cs="Tahoma"/>
          <w:bCs/>
        </w:rPr>
      </w:pPr>
      <w:r w:rsidRPr="001D5AE2">
        <w:rPr>
          <w:rFonts w:ascii="Tahoma" w:hAnsi="Tahoma" w:cs="Tahoma"/>
          <w:bCs/>
        </w:rPr>
        <w:t>Capital Expenditure – is based on the balance from the recurrent account plus capital receipts, less contingency reserve as outlined above.</w:t>
      </w:r>
    </w:p>
    <w:p w14:paraId="161F2F4A" w14:textId="77777777" w:rsidR="001C6E48" w:rsidRDefault="001C6E48" w:rsidP="00856B93">
      <w:pPr>
        <w:spacing w:line="360" w:lineRule="auto"/>
        <w:rPr>
          <w:rFonts w:ascii="Tahoma" w:hAnsi="Tahoma" w:cs="Tahoma"/>
          <w:b/>
        </w:rPr>
        <w:sectPr w:rsidR="001C6E48" w:rsidSect="001C6E48">
          <w:type w:val="continuous"/>
          <w:pgSz w:w="12240" w:h="15840"/>
          <w:pgMar w:top="1440" w:right="1440" w:bottom="1440" w:left="1440" w:header="720" w:footer="720" w:gutter="0"/>
          <w:cols w:space="720"/>
          <w:docGrid w:linePitch="360"/>
        </w:sectPr>
      </w:pPr>
    </w:p>
    <w:p w14:paraId="379F3C9E" w14:textId="7CDA231E" w:rsidR="00856B93" w:rsidRPr="001D5AE2" w:rsidRDefault="002701DE" w:rsidP="00856B93">
      <w:pPr>
        <w:spacing w:line="360" w:lineRule="auto"/>
        <w:rPr>
          <w:rFonts w:ascii="Tahoma" w:hAnsi="Tahoma" w:cs="Tahoma"/>
          <w:b/>
        </w:rPr>
      </w:pPr>
      <w:r w:rsidRPr="001D5AE2">
        <w:rPr>
          <w:noProof/>
        </w:rPr>
        <w:lastRenderedPageBreak/>
        <w:drawing>
          <wp:inline distT="0" distB="0" distL="0" distR="0" wp14:anchorId="0CA3DCC7" wp14:editId="5303C187">
            <wp:extent cx="8693785" cy="5860415"/>
            <wp:effectExtent l="0" t="0" r="0" b="6985"/>
            <wp:docPr id="12179595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93785" cy="5860415"/>
                    </a:xfrm>
                    <a:prstGeom prst="rect">
                      <a:avLst/>
                    </a:prstGeom>
                    <a:noFill/>
                    <a:ln>
                      <a:noFill/>
                    </a:ln>
                  </pic:spPr>
                </pic:pic>
              </a:graphicData>
            </a:graphic>
          </wp:inline>
        </w:drawing>
      </w:r>
    </w:p>
    <w:p w14:paraId="6C001938" w14:textId="4B8A592D" w:rsidR="00A11F03" w:rsidRPr="001D5AE2" w:rsidRDefault="00811A90" w:rsidP="00A11F03">
      <w:r w:rsidRPr="001D5AE2">
        <w:rPr>
          <w:noProof/>
        </w:rPr>
        <w:lastRenderedPageBreak/>
        <w:drawing>
          <wp:inline distT="0" distB="0" distL="0" distR="0" wp14:anchorId="36FB3CBB" wp14:editId="24F5A9C7">
            <wp:extent cx="8693785" cy="5915025"/>
            <wp:effectExtent l="0" t="0" r="0" b="9525"/>
            <wp:docPr id="11020635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93785" cy="5915025"/>
                    </a:xfrm>
                    <a:prstGeom prst="rect">
                      <a:avLst/>
                    </a:prstGeom>
                    <a:noFill/>
                    <a:ln>
                      <a:noFill/>
                    </a:ln>
                  </pic:spPr>
                </pic:pic>
              </a:graphicData>
            </a:graphic>
          </wp:inline>
        </w:drawing>
      </w:r>
    </w:p>
    <w:p w14:paraId="72E53BC8" w14:textId="651016E1" w:rsidR="00856B93" w:rsidRPr="001D5AE2" w:rsidRDefault="00856B93" w:rsidP="00856B93">
      <w:pPr>
        <w:pStyle w:val="Heading2"/>
        <w:rPr>
          <w:rFonts w:ascii="Leelawadee" w:hAnsi="Leelawadee" w:cs="Leelawadee"/>
          <w:b w:val="0"/>
          <w:bCs w:val="0"/>
          <w:sz w:val="24"/>
          <w:szCs w:val="24"/>
        </w:rPr>
      </w:pPr>
      <w:bookmarkStart w:id="12" w:name="_Toc184224164"/>
      <w:r w:rsidRPr="001D5AE2">
        <w:rPr>
          <w:rFonts w:ascii="Leelawadee" w:hAnsi="Leelawadee" w:cs="Leelawadee"/>
          <w:b w:val="0"/>
          <w:bCs w:val="0"/>
          <w:sz w:val="24"/>
          <w:szCs w:val="24"/>
        </w:rPr>
        <w:lastRenderedPageBreak/>
        <w:t xml:space="preserve">Annex II: </w:t>
      </w:r>
      <w:r w:rsidR="00865C76" w:rsidRPr="001D5AE2">
        <w:rPr>
          <w:rFonts w:ascii="Leelawadee" w:hAnsi="Leelawadee" w:cs="Leelawadee"/>
          <w:b w:val="0"/>
          <w:bCs w:val="0"/>
          <w:sz w:val="24"/>
          <w:szCs w:val="24"/>
        </w:rPr>
        <w:t>Kebbi</w:t>
      </w:r>
      <w:r w:rsidRPr="001D5AE2">
        <w:rPr>
          <w:rFonts w:ascii="Leelawadee" w:hAnsi="Leelawadee" w:cs="Leelawadee"/>
          <w:b w:val="0"/>
          <w:bCs w:val="0"/>
          <w:sz w:val="24"/>
          <w:szCs w:val="24"/>
        </w:rPr>
        <w:t xml:space="preserve"> State Baseline Scenarios, 20</w:t>
      </w:r>
      <w:r w:rsidR="009A3B1F" w:rsidRPr="001D5AE2">
        <w:rPr>
          <w:rFonts w:ascii="Leelawadee" w:hAnsi="Leelawadee" w:cs="Leelawadee"/>
          <w:b w:val="0"/>
          <w:bCs w:val="0"/>
          <w:sz w:val="24"/>
          <w:szCs w:val="24"/>
        </w:rPr>
        <w:t>1</w:t>
      </w:r>
      <w:r w:rsidR="00B75FE6" w:rsidRPr="001D5AE2">
        <w:rPr>
          <w:rFonts w:ascii="Leelawadee" w:hAnsi="Leelawadee" w:cs="Leelawadee"/>
          <w:b w:val="0"/>
          <w:bCs w:val="0"/>
          <w:sz w:val="24"/>
          <w:szCs w:val="24"/>
        </w:rPr>
        <w:t>9</w:t>
      </w:r>
      <w:r w:rsidRPr="001D5AE2">
        <w:rPr>
          <w:rFonts w:ascii="Leelawadee" w:hAnsi="Leelawadee" w:cs="Leelawadee"/>
          <w:b w:val="0"/>
          <w:bCs w:val="0"/>
          <w:sz w:val="24"/>
          <w:szCs w:val="24"/>
        </w:rPr>
        <w:t>-20</w:t>
      </w:r>
      <w:r w:rsidR="009A3B1F" w:rsidRPr="001D5AE2">
        <w:rPr>
          <w:rFonts w:ascii="Leelawadee" w:hAnsi="Leelawadee" w:cs="Leelawadee"/>
          <w:b w:val="0"/>
          <w:bCs w:val="0"/>
          <w:sz w:val="24"/>
          <w:szCs w:val="24"/>
        </w:rPr>
        <w:t>3</w:t>
      </w:r>
      <w:r w:rsidR="00B75FE6" w:rsidRPr="001D5AE2">
        <w:rPr>
          <w:rFonts w:ascii="Leelawadee" w:hAnsi="Leelawadee" w:cs="Leelawadee"/>
          <w:b w:val="0"/>
          <w:bCs w:val="0"/>
          <w:sz w:val="24"/>
          <w:szCs w:val="24"/>
        </w:rPr>
        <w:t>3</w:t>
      </w:r>
      <w:bookmarkEnd w:id="12"/>
    </w:p>
    <w:p w14:paraId="5F33654F" w14:textId="44A69383" w:rsidR="00856B93" w:rsidRPr="001D5AE2" w:rsidRDefault="00B75FE6" w:rsidP="00856B93">
      <w:pPr>
        <w:spacing w:line="360" w:lineRule="auto"/>
        <w:rPr>
          <w:rFonts w:ascii="Leelawadee" w:hAnsi="Leelawadee" w:cs="Leelawadee"/>
          <w:b/>
        </w:rPr>
      </w:pPr>
      <w:r w:rsidRPr="001D5AE2">
        <w:rPr>
          <w:noProof/>
        </w:rPr>
        <w:drawing>
          <wp:inline distT="0" distB="0" distL="0" distR="0" wp14:anchorId="66B1621A" wp14:editId="0D2F6159">
            <wp:extent cx="8693785" cy="5562600"/>
            <wp:effectExtent l="0" t="0" r="0" b="0"/>
            <wp:docPr id="17698806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93785" cy="5562600"/>
                    </a:xfrm>
                    <a:prstGeom prst="rect">
                      <a:avLst/>
                    </a:prstGeom>
                    <a:noFill/>
                    <a:ln>
                      <a:noFill/>
                    </a:ln>
                  </pic:spPr>
                </pic:pic>
              </a:graphicData>
            </a:graphic>
          </wp:inline>
        </w:drawing>
      </w:r>
    </w:p>
    <w:p w14:paraId="3676B9FE" w14:textId="2FDB43E6" w:rsidR="00856B93" w:rsidRPr="001D5AE2" w:rsidRDefault="00856B93" w:rsidP="00A22D88">
      <w:pPr>
        <w:spacing w:after="0" w:line="360" w:lineRule="auto"/>
        <w:rPr>
          <w:rFonts w:ascii="Leelawadee" w:hAnsi="Leelawadee" w:cs="Leelawadee"/>
          <w:b/>
          <w:i/>
          <w:iCs/>
        </w:rPr>
      </w:pPr>
      <w:r w:rsidRPr="001D5AE2">
        <w:rPr>
          <w:rFonts w:ascii="Leelawadee" w:hAnsi="Leelawadee" w:cs="Leelawadee"/>
          <w:b/>
          <w:i/>
          <w:iCs/>
        </w:rPr>
        <w:lastRenderedPageBreak/>
        <w:t xml:space="preserve">Annex II: </w:t>
      </w:r>
      <w:r w:rsidR="00865C76" w:rsidRPr="001D5AE2">
        <w:rPr>
          <w:rFonts w:ascii="Leelawadee" w:hAnsi="Leelawadee" w:cs="Leelawadee"/>
          <w:b/>
          <w:i/>
          <w:iCs/>
        </w:rPr>
        <w:t>Kebbi</w:t>
      </w:r>
      <w:r w:rsidRPr="001D5AE2">
        <w:rPr>
          <w:rFonts w:ascii="Leelawadee" w:hAnsi="Leelawadee" w:cs="Leelawadee"/>
          <w:b/>
          <w:i/>
          <w:iCs/>
        </w:rPr>
        <w:t xml:space="preserve"> State Baseline Scenarios, 20</w:t>
      </w:r>
      <w:r w:rsidR="009A3B1F" w:rsidRPr="001D5AE2">
        <w:rPr>
          <w:rFonts w:ascii="Leelawadee" w:hAnsi="Leelawadee" w:cs="Leelawadee"/>
          <w:b/>
          <w:i/>
          <w:iCs/>
        </w:rPr>
        <w:t>1</w:t>
      </w:r>
      <w:r w:rsidR="00B75FE6" w:rsidRPr="001D5AE2">
        <w:rPr>
          <w:rFonts w:ascii="Leelawadee" w:hAnsi="Leelawadee" w:cs="Leelawadee"/>
          <w:b/>
          <w:i/>
          <w:iCs/>
        </w:rPr>
        <w:t>9</w:t>
      </w:r>
      <w:r w:rsidRPr="001D5AE2">
        <w:rPr>
          <w:rFonts w:ascii="Leelawadee" w:hAnsi="Leelawadee" w:cs="Leelawadee"/>
          <w:b/>
          <w:i/>
          <w:iCs/>
        </w:rPr>
        <w:t>-20</w:t>
      </w:r>
      <w:r w:rsidR="009A3B1F" w:rsidRPr="001D5AE2">
        <w:rPr>
          <w:rFonts w:ascii="Leelawadee" w:hAnsi="Leelawadee" w:cs="Leelawadee"/>
          <w:b/>
          <w:i/>
          <w:iCs/>
        </w:rPr>
        <w:t>3</w:t>
      </w:r>
      <w:r w:rsidR="00B75FE6" w:rsidRPr="001D5AE2">
        <w:rPr>
          <w:rFonts w:ascii="Leelawadee" w:hAnsi="Leelawadee" w:cs="Leelawadee"/>
          <w:b/>
          <w:i/>
          <w:iCs/>
        </w:rPr>
        <w:t>3</w:t>
      </w:r>
      <w:r w:rsidRPr="001D5AE2">
        <w:rPr>
          <w:rFonts w:ascii="Leelawadee" w:hAnsi="Leelawadee" w:cs="Leelawadee"/>
          <w:b/>
          <w:i/>
          <w:iCs/>
        </w:rPr>
        <w:t>…Cont’d</w:t>
      </w:r>
      <w:r w:rsidR="008B0DA0" w:rsidRPr="001D5AE2">
        <w:rPr>
          <w:rFonts w:ascii="Leelawadee" w:hAnsi="Leelawadee" w:cs="Leelawadee"/>
          <w:b/>
          <w:i/>
          <w:iCs/>
        </w:rPr>
        <w:t xml:space="preserve"> </w:t>
      </w:r>
    </w:p>
    <w:p w14:paraId="284C955F" w14:textId="1668EA73" w:rsidR="009E70DD" w:rsidRDefault="00AD0538" w:rsidP="00A22D88">
      <w:pPr>
        <w:spacing w:after="0" w:line="360" w:lineRule="auto"/>
        <w:rPr>
          <w:rFonts w:ascii="Leelawadee" w:hAnsi="Leelawadee" w:cs="Leelawadee"/>
          <w:b/>
        </w:rPr>
      </w:pPr>
      <w:r>
        <w:rPr>
          <w:rFonts w:ascii="Leelawadee" w:hAnsi="Leelawadee" w:cs="Leelawadee"/>
          <w:b/>
          <w:noProof/>
          <w:sz w:val="36"/>
        </w:rPr>
        <w:drawing>
          <wp:anchor distT="0" distB="0" distL="114300" distR="114300" simplePos="0" relativeHeight="251658240" behindDoc="0" locked="0" layoutInCell="1" allowOverlap="1" wp14:anchorId="16575622" wp14:editId="1F92B5DB">
            <wp:simplePos x="0" y="0"/>
            <wp:positionH relativeFrom="column">
              <wp:posOffset>-31750</wp:posOffset>
            </wp:positionH>
            <wp:positionV relativeFrom="paragraph">
              <wp:posOffset>3893185</wp:posOffset>
            </wp:positionV>
            <wp:extent cx="2907660" cy="1390650"/>
            <wp:effectExtent l="0" t="0" r="7620" b="0"/>
            <wp:wrapNone/>
            <wp:docPr id="1" name="Picture 1" descr="C:\Users\user\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1.jpg"/>
                    <pic:cNvPicPr>
                      <a:picLocks noChangeAspect="1" noChangeArrowheads="1"/>
                    </pic:cNvPicPr>
                  </pic:nvPicPr>
                  <pic:blipFill>
                    <a:blip r:embed="rId29" cstate="print">
                      <a:extLst>
                        <a:ext uri="{BEBA8EAE-BF5A-486C-A8C5-ECC9F3942E4B}">
                          <a14:imgProps xmlns:a14="http://schemas.microsoft.com/office/drawing/2010/main">
                            <a14:imgLayer r:embed="rId30">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14650" cy="1393993"/>
                    </a:xfrm>
                    <a:prstGeom prst="rect">
                      <a:avLst/>
                    </a:prstGeom>
                    <a:noFill/>
                    <a:ln>
                      <a:noFill/>
                    </a:ln>
                  </pic:spPr>
                </pic:pic>
              </a:graphicData>
            </a:graphic>
            <wp14:sizeRelH relativeFrom="page">
              <wp14:pctWidth>0</wp14:pctWidth>
            </wp14:sizeRelH>
            <wp14:sizeRelV relativeFrom="page">
              <wp14:pctHeight>0</wp14:pctHeight>
            </wp14:sizeRelV>
          </wp:anchor>
        </w:drawing>
      </w:r>
      <w:r w:rsidR="00B75FE6" w:rsidRPr="001D5AE2">
        <w:rPr>
          <w:noProof/>
        </w:rPr>
        <w:drawing>
          <wp:inline distT="0" distB="0" distL="0" distR="0" wp14:anchorId="2B6C782D" wp14:editId="0C829715">
            <wp:extent cx="8693785" cy="4524375"/>
            <wp:effectExtent l="0" t="0" r="0" b="9525"/>
            <wp:docPr id="3354128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93785" cy="4524375"/>
                    </a:xfrm>
                    <a:prstGeom prst="rect">
                      <a:avLst/>
                    </a:prstGeom>
                    <a:noFill/>
                    <a:ln>
                      <a:noFill/>
                    </a:ln>
                  </pic:spPr>
                </pic:pic>
              </a:graphicData>
            </a:graphic>
          </wp:inline>
        </w:drawing>
      </w:r>
    </w:p>
    <w:p w14:paraId="036BD3A7" w14:textId="7917857C" w:rsidR="001C6E48" w:rsidRPr="001C6E48" w:rsidRDefault="001C6E48" w:rsidP="00A22D88">
      <w:pPr>
        <w:spacing w:after="0" w:line="360" w:lineRule="auto"/>
        <w:rPr>
          <w:rFonts w:ascii="Leelawadee" w:hAnsi="Leelawadee" w:cs="Leelawadee"/>
          <w:b/>
          <w:sz w:val="36"/>
        </w:rPr>
      </w:pPr>
    </w:p>
    <w:p w14:paraId="5AA35348" w14:textId="0D66FCA9" w:rsidR="001C6E48" w:rsidRPr="001C6E48" w:rsidRDefault="001C6E48" w:rsidP="001C6E48">
      <w:pPr>
        <w:spacing w:after="0" w:line="240" w:lineRule="auto"/>
        <w:rPr>
          <w:rFonts w:ascii="Leelawadee" w:hAnsi="Leelawadee" w:cs="Leelawadee"/>
          <w:b/>
          <w:sz w:val="24"/>
        </w:rPr>
      </w:pPr>
      <w:proofErr w:type="gramStart"/>
      <w:r w:rsidRPr="001C6E48">
        <w:rPr>
          <w:rFonts w:ascii="Leelawadee" w:hAnsi="Leelawadee" w:cs="Leelawadee"/>
          <w:b/>
          <w:sz w:val="24"/>
        </w:rPr>
        <w:t>Alh.</w:t>
      </w:r>
      <w:proofErr w:type="gramEnd"/>
      <w:r w:rsidRPr="001C6E48">
        <w:rPr>
          <w:rFonts w:ascii="Leelawadee" w:hAnsi="Leelawadee" w:cs="Leelawadee"/>
          <w:b/>
          <w:sz w:val="24"/>
        </w:rPr>
        <w:t xml:space="preserve"> Abubakar Muhammed B/Kebbi </w:t>
      </w:r>
      <w:bookmarkStart w:id="13" w:name="_GoBack"/>
      <w:bookmarkEnd w:id="13"/>
    </w:p>
    <w:p w14:paraId="433902CE" w14:textId="77777777" w:rsidR="001C6E48" w:rsidRPr="001C6E48" w:rsidRDefault="001C6E48" w:rsidP="001C6E48">
      <w:pPr>
        <w:spacing w:after="0" w:line="240" w:lineRule="auto"/>
        <w:rPr>
          <w:rFonts w:ascii="Leelawadee" w:hAnsi="Leelawadee" w:cs="Leelawadee"/>
          <w:b/>
          <w:sz w:val="24"/>
        </w:rPr>
      </w:pPr>
      <w:r w:rsidRPr="001C6E48">
        <w:rPr>
          <w:rFonts w:ascii="Leelawadee" w:hAnsi="Leelawadee" w:cs="Leelawadee"/>
          <w:b/>
          <w:sz w:val="24"/>
        </w:rPr>
        <w:t>Hon. Commissioner</w:t>
      </w:r>
    </w:p>
    <w:p w14:paraId="42F78D7A" w14:textId="149DA9FE" w:rsidR="001C6E48" w:rsidRPr="00952D67" w:rsidRDefault="001C6E48" w:rsidP="001C6E48">
      <w:pPr>
        <w:spacing w:after="0" w:line="240" w:lineRule="auto"/>
        <w:rPr>
          <w:rFonts w:ascii="Leelawadee" w:hAnsi="Leelawadee" w:cs="Leelawadee"/>
          <w:b/>
        </w:rPr>
      </w:pPr>
      <w:r w:rsidRPr="001C6E48">
        <w:rPr>
          <w:rFonts w:ascii="Leelawadee" w:hAnsi="Leelawadee" w:cs="Leelawadee"/>
          <w:b/>
          <w:sz w:val="24"/>
        </w:rPr>
        <w:t xml:space="preserve">Ministry of Finance, Kebbi State </w:t>
      </w:r>
      <w:r>
        <w:rPr>
          <w:rFonts w:ascii="Leelawadee" w:hAnsi="Leelawadee" w:cs="Leelawadee"/>
          <w:b/>
        </w:rPr>
        <w:t xml:space="preserve"> </w:t>
      </w:r>
    </w:p>
    <w:sectPr w:rsidR="001C6E48" w:rsidRPr="00952D67" w:rsidSect="001C6E48">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44DA5" w14:textId="77777777" w:rsidR="0097614A" w:rsidRDefault="0097614A" w:rsidP="007B7AF1">
      <w:pPr>
        <w:spacing w:after="0" w:line="240" w:lineRule="auto"/>
      </w:pPr>
      <w:r>
        <w:separator/>
      </w:r>
    </w:p>
  </w:endnote>
  <w:endnote w:type="continuationSeparator" w:id="0">
    <w:p w14:paraId="39C53563" w14:textId="77777777" w:rsidR="0097614A" w:rsidRDefault="0097614A" w:rsidP="007B7AF1">
      <w:pPr>
        <w:spacing w:after="0" w:line="240" w:lineRule="auto"/>
      </w:pPr>
      <w:r>
        <w:continuationSeparator/>
      </w:r>
    </w:p>
  </w:endnote>
  <w:endnote w:type="continuationNotice" w:id="1">
    <w:p w14:paraId="0EB325F1" w14:textId="77777777" w:rsidR="0097614A" w:rsidRDefault="00976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elawadee">
    <w:altName w:val="Leelawadee UI"/>
    <w:panose1 w:val="020B0502040204020203"/>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A2E7C" w14:textId="417634A2" w:rsidR="0097614A" w:rsidRDefault="0097614A">
    <w:pPr>
      <w:pStyle w:val="Footer"/>
      <w:jc w:val="right"/>
    </w:pPr>
    <w:r>
      <w:fldChar w:fldCharType="begin"/>
    </w:r>
    <w:r>
      <w:instrText xml:space="preserve"> PAGE   \* MERGEFORMAT </w:instrText>
    </w:r>
    <w:r>
      <w:fldChar w:fldCharType="separate"/>
    </w:r>
    <w:r w:rsidR="00B00423">
      <w:rPr>
        <w:noProof/>
      </w:rPr>
      <w:t>46</w:t>
    </w:r>
    <w:r>
      <w:rPr>
        <w:noProof/>
      </w:rPr>
      <w:fldChar w:fldCharType="end"/>
    </w:r>
  </w:p>
  <w:p w14:paraId="3FC6445B" w14:textId="77777777" w:rsidR="0097614A" w:rsidRDefault="00976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290A1" w14:textId="77777777" w:rsidR="0097614A" w:rsidRDefault="0097614A" w:rsidP="007B7AF1">
      <w:pPr>
        <w:spacing w:after="0" w:line="240" w:lineRule="auto"/>
      </w:pPr>
      <w:r>
        <w:separator/>
      </w:r>
    </w:p>
  </w:footnote>
  <w:footnote w:type="continuationSeparator" w:id="0">
    <w:p w14:paraId="20C06A6F" w14:textId="77777777" w:rsidR="0097614A" w:rsidRDefault="0097614A" w:rsidP="007B7AF1">
      <w:pPr>
        <w:spacing w:after="0" w:line="240" w:lineRule="auto"/>
      </w:pPr>
      <w:r>
        <w:continuationSeparator/>
      </w:r>
    </w:p>
  </w:footnote>
  <w:footnote w:type="continuationNotice" w:id="1">
    <w:p w14:paraId="2AF1C335" w14:textId="77777777" w:rsidR="0097614A" w:rsidRDefault="009761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8DB"/>
    <w:multiLevelType w:val="multilevel"/>
    <w:tmpl w:val="94E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D57B4"/>
    <w:multiLevelType w:val="hybridMultilevel"/>
    <w:tmpl w:val="A6489A50"/>
    <w:lvl w:ilvl="0" w:tplc="2000000B">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
    <w:nsid w:val="0288478F"/>
    <w:multiLevelType w:val="hybridMultilevel"/>
    <w:tmpl w:val="B5982C4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5537C35"/>
    <w:multiLevelType w:val="hybridMultilevel"/>
    <w:tmpl w:val="BA04B36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78A7C9D"/>
    <w:multiLevelType w:val="hybridMultilevel"/>
    <w:tmpl w:val="DD9A1B32"/>
    <w:lvl w:ilvl="0" w:tplc="42202ABA">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A981B39"/>
    <w:multiLevelType w:val="hybridMultilevel"/>
    <w:tmpl w:val="3878C43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BD512C7"/>
    <w:multiLevelType w:val="hybridMultilevel"/>
    <w:tmpl w:val="3EE8A376"/>
    <w:lvl w:ilvl="0" w:tplc="C40C8B4A">
      <w:start w:val="1"/>
      <w:numFmt w:val="lowerRoman"/>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0E480E88"/>
    <w:multiLevelType w:val="hybridMultilevel"/>
    <w:tmpl w:val="30882D9C"/>
    <w:lvl w:ilvl="0" w:tplc="61F08D82">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1273493"/>
    <w:multiLevelType w:val="multilevel"/>
    <w:tmpl w:val="6864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BD14E9"/>
    <w:multiLevelType w:val="multilevel"/>
    <w:tmpl w:val="8BF6FE7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611C46"/>
    <w:multiLevelType w:val="hybridMultilevel"/>
    <w:tmpl w:val="BFD61D64"/>
    <w:lvl w:ilvl="0" w:tplc="CC042CCC">
      <w:start w:val="1"/>
      <w:numFmt w:val="lowerRoman"/>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D034446"/>
    <w:multiLevelType w:val="hybridMultilevel"/>
    <w:tmpl w:val="DFA695E4"/>
    <w:lvl w:ilvl="0" w:tplc="20000019">
      <w:start w:val="1"/>
      <w:numFmt w:val="lowerLetter"/>
      <w:lvlText w:val="%1."/>
      <w:lvlJc w:val="left"/>
      <w:pPr>
        <w:ind w:left="1899" w:hanging="360"/>
      </w:pPr>
    </w:lvl>
    <w:lvl w:ilvl="1" w:tplc="20000019">
      <w:start w:val="1"/>
      <w:numFmt w:val="lowerLetter"/>
      <w:lvlText w:val="%2."/>
      <w:lvlJc w:val="left"/>
      <w:pPr>
        <w:ind w:left="2619" w:hanging="360"/>
      </w:pPr>
    </w:lvl>
    <w:lvl w:ilvl="2" w:tplc="2000001B" w:tentative="1">
      <w:start w:val="1"/>
      <w:numFmt w:val="lowerRoman"/>
      <w:lvlText w:val="%3."/>
      <w:lvlJc w:val="right"/>
      <w:pPr>
        <w:ind w:left="3339" w:hanging="180"/>
      </w:pPr>
    </w:lvl>
    <w:lvl w:ilvl="3" w:tplc="2000000F" w:tentative="1">
      <w:start w:val="1"/>
      <w:numFmt w:val="decimal"/>
      <w:lvlText w:val="%4."/>
      <w:lvlJc w:val="left"/>
      <w:pPr>
        <w:ind w:left="4059" w:hanging="360"/>
      </w:pPr>
    </w:lvl>
    <w:lvl w:ilvl="4" w:tplc="20000019" w:tentative="1">
      <w:start w:val="1"/>
      <w:numFmt w:val="lowerLetter"/>
      <w:lvlText w:val="%5."/>
      <w:lvlJc w:val="left"/>
      <w:pPr>
        <w:ind w:left="4779" w:hanging="360"/>
      </w:pPr>
    </w:lvl>
    <w:lvl w:ilvl="5" w:tplc="2000001B" w:tentative="1">
      <w:start w:val="1"/>
      <w:numFmt w:val="lowerRoman"/>
      <w:lvlText w:val="%6."/>
      <w:lvlJc w:val="right"/>
      <w:pPr>
        <w:ind w:left="5499" w:hanging="180"/>
      </w:pPr>
    </w:lvl>
    <w:lvl w:ilvl="6" w:tplc="2000000F" w:tentative="1">
      <w:start w:val="1"/>
      <w:numFmt w:val="decimal"/>
      <w:lvlText w:val="%7."/>
      <w:lvlJc w:val="left"/>
      <w:pPr>
        <w:ind w:left="6219" w:hanging="360"/>
      </w:pPr>
    </w:lvl>
    <w:lvl w:ilvl="7" w:tplc="20000019" w:tentative="1">
      <w:start w:val="1"/>
      <w:numFmt w:val="lowerLetter"/>
      <w:lvlText w:val="%8."/>
      <w:lvlJc w:val="left"/>
      <w:pPr>
        <w:ind w:left="6939" w:hanging="360"/>
      </w:pPr>
    </w:lvl>
    <w:lvl w:ilvl="8" w:tplc="2000001B" w:tentative="1">
      <w:start w:val="1"/>
      <w:numFmt w:val="lowerRoman"/>
      <w:lvlText w:val="%9."/>
      <w:lvlJc w:val="right"/>
      <w:pPr>
        <w:ind w:left="7659" w:hanging="180"/>
      </w:pPr>
    </w:lvl>
  </w:abstractNum>
  <w:abstractNum w:abstractNumId="12">
    <w:nsid w:val="1ED75944"/>
    <w:multiLevelType w:val="hybridMultilevel"/>
    <w:tmpl w:val="7BFA8B2E"/>
    <w:lvl w:ilvl="0" w:tplc="20000019">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nsid w:val="2503183E"/>
    <w:multiLevelType w:val="hybridMultilevel"/>
    <w:tmpl w:val="3998F06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7C14D30"/>
    <w:multiLevelType w:val="hybridMultilevel"/>
    <w:tmpl w:val="BB3C9CFE"/>
    <w:lvl w:ilvl="0" w:tplc="42202ABA">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93A586C"/>
    <w:multiLevelType w:val="hybridMultilevel"/>
    <w:tmpl w:val="FB0234FA"/>
    <w:lvl w:ilvl="0" w:tplc="AAFE4D7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2AE13A90"/>
    <w:multiLevelType w:val="hybridMultilevel"/>
    <w:tmpl w:val="CAACE46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2F6022CC"/>
    <w:multiLevelType w:val="hybridMultilevel"/>
    <w:tmpl w:val="AEDA51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2F645010"/>
    <w:multiLevelType w:val="multilevel"/>
    <w:tmpl w:val="88AA64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53B5E85"/>
    <w:multiLevelType w:val="hybridMultilevel"/>
    <w:tmpl w:val="A6D4920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82E770D"/>
    <w:multiLevelType w:val="hybridMultilevel"/>
    <w:tmpl w:val="B51464A4"/>
    <w:lvl w:ilvl="0" w:tplc="E5D48D78">
      <w:start w:val="2021"/>
      <w:numFmt w:val="decimal"/>
      <w:lvlText w:val="%1"/>
      <w:lvlJc w:val="left"/>
      <w:pPr>
        <w:ind w:left="903" w:hanging="543"/>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3A3A7989"/>
    <w:multiLevelType w:val="hybridMultilevel"/>
    <w:tmpl w:val="9DDC94D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3C0A0EFA"/>
    <w:multiLevelType w:val="hybridMultilevel"/>
    <w:tmpl w:val="7B52863C"/>
    <w:lvl w:ilvl="0" w:tplc="162028A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3C6774C8"/>
    <w:multiLevelType w:val="multilevel"/>
    <w:tmpl w:val="F36290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8EA7DCA"/>
    <w:multiLevelType w:val="multilevel"/>
    <w:tmpl w:val="107826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A51532C"/>
    <w:multiLevelType w:val="multilevel"/>
    <w:tmpl w:val="1A521F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9F463F"/>
    <w:multiLevelType w:val="hybridMultilevel"/>
    <w:tmpl w:val="459E54CC"/>
    <w:lvl w:ilvl="0" w:tplc="E4309656">
      <w:start w:val="1"/>
      <w:numFmt w:val="lowerRoman"/>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52AC4DB4"/>
    <w:multiLevelType w:val="multilevel"/>
    <w:tmpl w:val="4C3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7C246D"/>
    <w:multiLevelType w:val="hybridMultilevel"/>
    <w:tmpl w:val="50983C9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57D26B22"/>
    <w:multiLevelType w:val="hybridMultilevel"/>
    <w:tmpl w:val="627222CA"/>
    <w:lvl w:ilvl="0" w:tplc="16A417D8">
      <w:start w:val="1"/>
      <w:numFmt w:val="decimal"/>
      <w:lvlText w:val="%1."/>
      <w:lvlJc w:val="left"/>
      <w:pPr>
        <w:tabs>
          <w:tab w:val="num" w:pos="1997"/>
        </w:tabs>
        <w:ind w:left="1997" w:hanging="567"/>
      </w:pPr>
      <w:rPr>
        <w:rFonts w:ascii="Tahoma" w:hAnsi="Tahoma" w:hint="default"/>
        <w:sz w:val="20"/>
      </w:rPr>
    </w:lvl>
    <w:lvl w:ilvl="1" w:tplc="08090019">
      <w:start w:val="1"/>
      <w:numFmt w:val="lowerLetter"/>
      <w:lvlText w:val="%2."/>
      <w:lvlJc w:val="left"/>
      <w:pPr>
        <w:tabs>
          <w:tab w:val="num" w:pos="2870"/>
        </w:tabs>
        <w:ind w:left="2870" w:hanging="360"/>
      </w:pPr>
    </w:lvl>
    <w:lvl w:ilvl="2" w:tplc="2082A352">
      <w:start w:val="6"/>
      <w:numFmt w:val="decimal"/>
      <w:lvlText w:val="%3"/>
      <w:lvlJc w:val="left"/>
      <w:pPr>
        <w:ind w:left="3770" w:hanging="360"/>
      </w:pPr>
      <w:rPr>
        <w:rFonts w:hint="default"/>
      </w:rPr>
    </w:lvl>
    <w:lvl w:ilvl="3" w:tplc="0809000F" w:tentative="1">
      <w:start w:val="1"/>
      <w:numFmt w:val="decimal"/>
      <w:lvlText w:val="%4."/>
      <w:lvlJc w:val="left"/>
      <w:pPr>
        <w:tabs>
          <w:tab w:val="num" w:pos="4310"/>
        </w:tabs>
        <w:ind w:left="4310" w:hanging="360"/>
      </w:pPr>
    </w:lvl>
    <w:lvl w:ilvl="4" w:tplc="08090019" w:tentative="1">
      <w:start w:val="1"/>
      <w:numFmt w:val="lowerLetter"/>
      <w:lvlText w:val="%5."/>
      <w:lvlJc w:val="left"/>
      <w:pPr>
        <w:tabs>
          <w:tab w:val="num" w:pos="5030"/>
        </w:tabs>
        <w:ind w:left="5030" w:hanging="360"/>
      </w:pPr>
    </w:lvl>
    <w:lvl w:ilvl="5" w:tplc="0809001B" w:tentative="1">
      <w:start w:val="1"/>
      <w:numFmt w:val="lowerRoman"/>
      <w:lvlText w:val="%6."/>
      <w:lvlJc w:val="right"/>
      <w:pPr>
        <w:tabs>
          <w:tab w:val="num" w:pos="5750"/>
        </w:tabs>
        <w:ind w:left="5750" w:hanging="180"/>
      </w:pPr>
    </w:lvl>
    <w:lvl w:ilvl="6" w:tplc="0809000F" w:tentative="1">
      <w:start w:val="1"/>
      <w:numFmt w:val="decimal"/>
      <w:lvlText w:val="%7."/>
      <w:lvlJc w:val="left"/>
      <w:pPr>
        <w:tabs>
          <w:tab w:val="num" w:pos="6470"/>
        </w:tabs>
        <w:ind w:left="6470" w:hanging="360"/>
      </w:pPr>
    </w:lvl>
    <w:lvl w:ilvl="7" w:tplc="08090019" w:tentative="1">
      <w:start w:val="1"/>
      <w:numFmt w:val="lowerLetter"/>
      <w:lvlText w:val="%8."/>
      <w:lvlJc w:val="left"/>
      <w:pPr>
        <w:tabs>
          <w:tab w:val="num" w:pos="7190"/>
        </w:tabs>
        <w:ind w:left="7190" w:hanging="360"/>
      </w:pPr>
    </w:lvl>
    <w:lvl w:ilvl="8" w:tplc="0809001B" w:tentative="1">
      <w:start w:val="1"/>
      <w:numFmt w:val="lowerRoman"/>
      <w:lvlText w:val="%9."/>
      <w:lvlJc w:val="right"/>
      <w:pPr>
        <w:tabs>
          <w:tab w:val="num" w:pos="7910"/>
        </w:tabs>
        <w:ind w:left="7910" w:hanging="180"/>
      </w:pPr>
    </w:lvl>
  </w:abstractNum>
  <w:abstractNum w:abstractNumId="30">
    <w:nsid w:val="59351C9D"/>
    <w:multiLevelType w:val="multilevel"/>
    <w:tmpl w:val="DBA4A72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D5548F4"/>
    <w:multiLevelType w:val="hybridMultilevel"/>
    <w:tmpl w:val="097C2206"/>
    <w:lvl w:ilvl="0" w:tplc="E4309656">
      <w:start w:val="1"/>
      <w:numFmt w:val="lowerRoman"/>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nsid w:val="5FB43C9B"/>
    <w:multiLevelType w:val="multilevel"/>
    <w:tmpl w:val="8D78BC26"/>
    <w:lvl w:ilvl="0">
      <w:start w:val="3"/>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nsid w:val="61511961"/>
    <w:multiLevelType w:val="multilevel"/>
    <w:tmpl w:val="1A521F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14E26"/>
    <w:multiLevelType w:val="hybridMultilevel"/>
    <w:tmpl w:val="14C2DCF2"/>
    <w:lvl w:ilvl="0" w:tplc="6E6E05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6A5173D5"/>
    <w:multiLevelType w:val="multilevel"/>
    <w:tmpl w:val="F478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9E53E0"/>
    <w:multiLevelType w:val="hybridMultilevel"/>
    <w:tmpl w:val="141E4874"/>
    <w:lvl w:ilvl="0" w:tplc="E4309656">
      <w:start w:val="1"/>
      <w:numFmt w:val="lowerRoman"/>
      <w:lvlText w:val="%1."/>
      <w:lvlJc w:val="left"/>
      <w:pPr>
        <w:ind w:left="720" w:hanging="360"/>
      </w:pPr>
      <w:rPr>
        <w:rFonts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C6D5588"/>
    <w:multiLevelType w:val="hybridMultilevel"/>
    <w:tmpl w:val="0518D3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6DC26BAF"/>
    <w:multiLevelType w:val="hybridMultilevel"/>
    <w:tmpl w:val="D0526C8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nsid w:val="70703A23"/>
    <w:multiLevelType w:val="hybridMultilevel"/>
    <w:tmpl w:val="3A64561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71F80E8F"/>
    <w:multiLevelType w:val="hybridMultilevel"/>
    <w:tmpl w:val="9084922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nsid w:val="72597E2F"/>
    <w:multiLevelType w:val="hybridMultilevel"/>
    <w:tmpl w:val="325A2E96"/>
    <w:lvl w:ilvl="0" w:tplc="7DF809A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738C0C73"/>
    <w:multiLevelType w:val="hybridMultilevel"/>
    <w:tmpl w:val="D05E51E8"/>
    <w:lvl w:ilvl="0" w:tplc="BE56827A">
      <w:start w:val="1"/>
      <w:numFmt w:val="lowerLetter"/>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nsid w:val="76D04EF4"/>
    <w:multiLevelType w:val="hybridMultilevel"/>
    <w:tmpl w:val="2C481244"/>
    <w:lvl w:ilvl="0" w:tplc="2000000B">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44">
    <w:nsid w:val="772B0BCC"/>
    <w:multiLevelType w:val="hybridMultilevel"/>
    <w:tmpl w:val="9506B17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nsid w:val="7B751D9A"/>
    <w:multiLevelType w:val="hybridMultilevel"/>
    <w:tmpl w:val="B320616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8"/>
  </w:num>
  <w:num w:numId="3">
    <w:abstractNumId w:val="0"/>
  </w:num>
  <w:num w:numId="4">
    <w:abstractNumId w:val="35"/>
  </w:num>
  <w:num w:numId="5">
    <w:abstractNumId w:val="9"/>
  </w:num>
  <w:num w:numId="6">
    <w:abstractNumId w:val="10"/>
  </w:num>
  <w:num w:numId="7">
    <w:abstractNumId w:val="36"/>
  </w:num>
  <w:num w:numId="8">
    <w:abstractNumId w:val="6"/>
  </w:num>
  <w:num w:numId="9">
    <w:abstractNumId w:val="31"/>
  </w:num>
  <w:num w:numId="10">
    <w:abstractNumId w:val="26"/>
  </w:num>
  <w:num w:numId="11">
    <w:abstractNumId w:val="17"/>
  </w:num>
  <w:num w:numId="12">
    <w:abstractNumId w:val="19"/>
  </w:num>
  <w:num w:numId="13">
    <w:abstractNumId w:val="3"/>
  </w:num>
  <w:num w:numId="14">
    <w:abstractNumId w:val="11"/>
  </w:num>
  <w:num w:numId="15">
    <w:abstractNumId w:val="45"/>
  </w:num>
  <w:num w:numId="16">
    <w:abstractNumId w:val="23"/>
  </w:num>
  <w:num w:numId="17">
    <w:abstractNumId w:val="24"/>
  </w:num>
  <w:num w:numId="18">
    <w:abstractNumId w:val="18"/>
  </w:num>
  <w:num w:numId="19">
    <w:abstractNumId w:val="2"/>
  </w:num>
  <w:num w:numId="20">
    <w:abstractNumId w:val="25"/>
  </w:num>
  <w:num w:numId="21">
    <w:abstractNumId w:val="15"/>
  </w:num>
  <w:num w:numId="22">
    <w:abstractNumId w:val="4"/>
  </w:num>
  <w:num w:numId="23">
    <w:abstractNumId w:val="33"/>
  </w:num>
  <w:num w:numId="24">
    <w:abstractNumId w:val="14"/>
  </w:num>
  <w:num w:numId="25">
    <w:abstractNumId w:val="12"/>
  </w:num>
  <w:num w:numId="26">
    <w:abstractNumId w:val="37"/>
  </w:num>
  <w:num w:numId="27">
    <w:abstractNumId w:val="7"/>
  </w:num>
  <w:num w:numId="28">
    <w:abstractNumId w:val="42"/>
  </w:num>
  <w:num w:numId="29">
    <w:abstractNumId w:val="22"/>
  </w:num>
  <w:num w:numId="30">
    <w:abstractNumId w:val="41"/>
  </w:num>
  <w:num w:numId="31">
    <w:abstractNumId w:val="1"/>
  </w:num>
  <w:num w:numId="32">
    <w:abstractNumId w:val="43"/>
  </w:num>
  <w:num w:numId="33">
    <w:abstractNumId w:val="13"/>
  </w:num>
  <w:num w:numId="34">
    <w:abstractNumId w:val="40"/>
  </w:num>
  <w:num w:numId="35">
    <w:abstractNumId w:val="34"/>
  </w:num>
  <w:num w:numId="36">
    <w:abstractNumId w:val="20"/>
  </w:num>
  <w:num w:numId="37">
    <w:abstractNumId w:val="5"/>
  </w:num>
  <w:num w:numId="38">
    <w:abstractNumId w:val="21"/>
  </w:num>
  <w:num w:numId="39">
    <w:abstractNumId w:val="16"/>
  </w:num>
  <w:num w:numId="40">
    <w:abstractNumId w:val="29"/>
  </w:num>
  <w:num w:numId="41">
    <w:abstractNumId w:val="30"/>
  </w:num>
  <w:num w:numId="42">
    <w:abstractNumId w:val="32"/>
  </w:num>
  <w:num w:numId="43">
    <w:abstractNumId w:val="44"/>
  </w:num>
  <w:num w:numId="44">
    <w:abstractNumId w:val="38"/>
  </w:num>
  <w:num w:numId="45">
    <w:abstractNumId w:val="3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3E4"/>
    <w:rsid w:val="00003DD9"/>
    <w:rsid w:val="00005BB4"/>
    <w:rsid w:val="00007280"/>
    <w:rsid w:val="00010650"/>
    <w:rsid w:val="00010FD7"/>
    <w:rsid w:val="00014846"/>
    <w:rsid w:val="00014F8E"/>
    <w:rsid w:val="00016CE0"/>
    <w:rsid w:val="00023621"/>
    <w:rsid w:val="0002497E"/>
    <w:rsid w:val="000261E4"/>
    <w:rsid w:val="000300F9"/>
    <w:rsid w:val="00035133"/>
    <w:rsid w:val="00035CEB"/>
    <w:rsid w:val="00035DA7"/>
    <w:rsid w:val="0004103B"/>
    <w:rsid w:val="0004138B"/>
    <w:rsid w:val="000413AE"/>
    <w:rsid w:val="000428B9"/>
    <w:rsid w:val="00043331"/>
    <w:rsid w:val="00045F79"/>
    <w:rsid w:val="0004651A"/>
    <w:rsid w:val="0004660A"/>
    <w:rsid w:val="00051F39"/>
    <w:rsid w:val="00052D70"/>
    <w:rsid w:val="000534E9"/>
    <w:rsid w:val="00053B67"/>
    <w:rsid w:val="00056439"/>
    <w:rsid w:val="00061C23"/>
    <w:rsid w:val="0006241F"/>
    <w:rsid w:val="00064A43"/>
    <w:rsid w:val="00066B8C"/>
    <w:rsid w:val="00067D85"/>
    <w:rsid w:val="00067EDC"/>
    <w:rsid w:val="000732CC"/>
    <w:rsid w:val="00073649"/>
    <w:rsid w:val="00073D56"/>
    <w:rsid w:val="00075B09"/>
    <w:rsid w:val="000766C0"/>
    <w:rsid w:val="0008051B"/>
    <w:rsid w:val="00080D9B"/>
    <w:rsid w:val="0008481C"/>
    <w:rsid w:val="0008485A"/>
    <w:rsid w:val="0008558B"/>
    <w:rsid w:val="000874EC"/>
    <w:rsid w:val="000902C7"/>
    <w:rsid w:val="00090A6F"/>
    <w:rsid w:val="00091085"/>
    <w:rsid w:val="0009328A"/>
    <w:rsid w:val="00093620"/>
    <w:rsid w:val="00094595"/>
    <w:rsid w:val="0009541B"/>
    <w:rsid w:val="00095561"/>
    <w:rsid w:val="0009565C"/>
    <w:rsid w:val="000966C6"/>
    <w:rsid w:val="00097D41"/>
    <w:rsid w:val="000A1481"/>
    <w:rsid w:val="000A20FB"/>
    <w:rsid w:val="000A32B5"/>
    <w:rsid w:val="000A3C13"/>
    <w:rsid w:val="000A41B8"/>
    <w:rsid w:val="000A5D8B"/>
    <w:rsid w:val="000B1BA8"/>
    <w:rsid w:val="000B3994"/>
    <w:rsid w:val="000B6B4E"/>
    <w:rsid w:val="000B73C5"/>
    <w:rsid w:val="000C0028"/>
    <w:rsid w:val="000C2122"/>
    <w:rsid w:val="000C30C2"/>
    <w:rsid w:val="000C5CB5"/>
    <w:rsid w:val="000C703A"/>
    <w:rsid w:val="000D098E"/>
    <w:rsid w:val="000D1BAD"/>
    <w:rsid w:val="000D30E5"/>
    <w:rsid w:val="000D3567"/>
    <w:rsid w:val="000D4DF3"/>
    <w:rsid w:val="000E0B66"/>
    <w:rsid w:val="000E2235"/>
    <w:rsid w:val="000E227F"/>
    <w:rsid w:val="000E292D"/>
    <w:rsid w:val="000E3D2E"/>
    <w:rsid w:val="000E4556"/>
    <w:rsid w:val="000E557D"/>
    <w:rsid w:val="000E61F0"/>
    <w:rsid w:val="000E7D10"/>
    <w:rsid w:val="000F14FA"/>
    <w:rsid w:val="000F194C"/>
    <w:rsid w:val="000F2385"/>
    <w:rsid w:val="000F24DB"/>
    <w:rsid w:val="000F3DBA"/>
    <w:rsid w:val="000F58B0"/>
    <w:rsid w:val="000F5B12"/>
    <w:rsid w:val="000F707F"/>
    <w:rsid w:val="000F7933"/>
    <w:rsid w:val="001013B7"/>
    <w:rsid w:val="00102491"/>
    <w:rsid w:val="001058E1"/>
    <w:rsid w:val="00106832"/>
    <w:rsid w:val="001068EB"/>
    <w:rsid w:val="00107BB1"/>
    <w:rsid w:val="00111F85"/>
    <w:rsid w:val="00113381"/>
    <w:rsid w:val="00114FE4"/>
    <w:rsid w:val="00116F43"/>
    <w:rsid w:val="001176E8"/>
    <w:rsid w:val="0012174E"/>
    <w:rsid w:val="00121D29"/>
    <w:rsid w:val="001257D4"/>
    <w:rsid w:val="00125A78"/>
    <w:rsid w:val="00125DF8"/>
    <w:rsid w:val="00126D1D"/>
    <w:rsid w:val="001329DC"/>
    <w:rsid w:val="00132CE3"/>
    <w:rsid w:val="00133617"/>
    <w:rsid w:val="00133CD7"/>
    <w:rsid w:val="0013492B"/>
    <w:rsid w:val="00134AAE"/>
    <w:rsid w:val="00136232"/>
    <w:rsid w:val="001368A7"/>
    <w:rsid w:val="00140A7A"/>
    <w:rsid w:val="00140D73"/>
    <w:rsid w:val="00141CCE"/>
    <w:rsid w:val="00144D54"/>
    <w:rsid w:val="00145122"/>
    <w:rsid w:val="001476B6"/>
    <w:rsid w:val="00147CB3"/>
    <w:rsid w:val="00150C1C"/>
    <w:rsid w:val="001512BB"/>
    <w:rsid w:val="00153848"/>
    <w:rsid w:val="001542E4"/>
    <w:rsid w:val="0016463F"/>
    <w:rsid w:val="00165BDC"/>
    <w:rsid w:val="00166376"/>
    <w:rsid w:val="00166377"/>
    <w:rsid w:val="001677ED"/>
    <w:rsid w:val="00170EF5"/>
    <w:rsid w:val="001719AA"/>
    <w:rsid w:val="0017255B"/>
    <w:rsid w:val="00173BD1"/>
    <w:rsid w:val="0017517D"/>
    <w:rsid w:val="00175968"/>
    <w:rsid w:val="00175F62"/>
    <w:rsid w:val="00176958"/>
    <w:rsid w:val="00177A1E"/>
    <w:rsid w:val="00177E55"/>
    <w:rsid w:val="001806DA"/>
    <w:rsid w:val="001807EA"/>
    <w:rsid w:val="001810F1"/>
    <w:rsid w:val="001811A0"/>
    <w:rsid w:val="001811CC"/>
    <w:rsid w:val="00182DCE"/>
    <w:rsid w:val="001840F8"/>
    <w:rsid w:val="00184120"/>
    <w:rsid w:val="00185DF7"/>
    <w:rsid w:val="001874D7"/>
    <w:rsid w:val="001903C9"/>
    <w:rsid w:val="00191637"/>
    <w:rsid w:val="00191E1D"/>
    <w:rsid w:val="0019578A"/>
    <w:rsid w:val="00196A0C"/>
    <w:rsid w:val="001970C0"/>
    <w:rsid w:val="001A263C"/>
    <w:rsid w:val="001A2AE9"/>
    <w:rsid w:val="001A2F00"/>
    <w:rsid w:val="001A44AB"/>
    <w:rsid w:val="001A523F"/>
    <w:rsid w:val="001A7795"/>
    <w:rsid w:val="001B0A46"/>
    <w:rsid w:val="001B46C8"/>
    <w:rsid w:val="001B55A8"/>
    <w:rsid w:val="001B575B"/>
    <w:rsid w:val="001B5CF4"/>
    <w:rsid w:val="001B657E"/>
    <w:rsid w:val="001B7BFB"/>
    <w:rsid w:val="001C36C1"/>
    <w:rsid w:val="001C36C9"/>
    <w:rsid w:val="001C390C"/>
    <w:rsid w:val="001C3938"/>
    <w:rsid w:val="001C3CD3"/>
    <w:rsid w:val="001C4EC6"/>
    <w:rsid w:val="001C6C73"/>
    <w:rsid w:val="001C6E48"/>
    <w:rsid w:val="001D02CF"/>
    <w:rsid w:val="001D23A6"/>
    <w:rsid w:val="001D2A8A"/>
    <w:rsid w:val="001D4A4B"/>
    <w:rsid w:val="001D5AE2"/>
    <w:rsid w:val="001D60CB"/>
    <w:rsid w:val="001D624A"/>
    <w:rsid w:val="001D6B38"/>
    <w:rsid w:val="001E08EA"/>
    <w:rsid w:val="001E5EC2"/>
    <w:rsid w:val="001E7ACE"/>
    <w:rsid w:val="001F0522"/>
    <w:rsid w:val="001F0F97"/>
    <w:rsid w:val="001F192D"/>
    <w:rsid w:val="001F1FC0"/>
    <w:rsid w:val="001F51BE"/>
    <w:rsid w:val="001F5EFC"/>
    <w:rsid w:val="00201BB6"/>
    <w:rsid w:val="002031DE"/>
    <w:rsid w:val="00204E41"/>
    <w:rsid w:val="00205E3B"/>
    <w:rsid w:val="002071FC"/>
    <w:rsid w:val="0021089D"/>
    <w:rsid w:val="002115C7"/>
    <w:rsid w:val="00211A56"/>
    <w:rsid w:val="00211E3A"/>
    <w:rsid w:val="00212175"/>
    <w:rsid w:val="00212560"/>
    <w:rsid w:val="00212DE0"/>
    <w:rsid w:val="002134C0"/>
    <w:rsid w:val="002136A2"/>
    <w:rsid w:val="002143FE"/>
    <w:rsid w:val="00217962"/>
    <w:rsid w:val="00217EB7"/>
    <w:rsid w:val="00221911"/>
    <w:rsid w:val="00222BAF"/>
    <w:rsid w:val="00222FEA"/>
    <w:rsid w:val="00224575"/>
    <w:rsid w:val="00224FF0"/>
    <w:rsid w:val="002257CF"/>
    <w:rsid w:val="002263BA"/>
    <w:rsid w:val="00226F91"/>
    <w:rsid w:val="0023224C"/>
    <w:rsid w:val="0023269B"/>
    <w:rsid w:val="0023417C"/>
    <w:rsid w:val="0023527A"/>
    <w:rsid w:val="00240CB9"/>
    <w:rsid w:val="00244FE7"/>
    <w:rsid w:val="0024657D"/>
    <w:rsid w:val="00246E87"/>
    <w:rsid w:val="0025076B"/>
    <w:rsid w:val="00250CB4"/>
    <w:rsid w:val="00252AFA"/>
    <w:rsid w:val="00255392"/>
    <w:rsid w:val="00260941"/>
    <w:rsid w:val="00261B38"/>
    <w:rsid w:val="002701DE"/>
    <w:rsid w:val="00270D7E"/>
    <w:rsid w:val="002748E9"/>
    <w:rsid w:val="0027587C"/>
    <w:rsid w:val="002759B7"/>
    <w:rsid w:val="00276D38"/>
    <w:rsid w:val="00280493"/>
    <w:rsid w:val="002812E0"/>
    <w:rsid w:val="00281AD9"/>
    <w:rsid w:val="00283C44"/>
    <w:rsid w:val="002845F1"/>
    <w:rsid w:val="002853F2"/>
    <w:rsid w:val="002877B7"/>
    <w:rsid w:val="00290995"/>
    <w:rsid w:val="00290D64"/>
    <w:rsid w:val="00291B45"/>
    <w:rsid w:val="00292C5C"/>
    <w:rsid w:val="00292C88"/>
    <w:rsid w:val="002942F3"/>
    <w:rsid w:val="002A0492"/>
    <w:rsid w:val="002A07BD"/>
    <w:rsid w:val="002A387C"/>
    <w:rsid w:val="002A4357"/>
    <w:rsid w:val="002A73A6"/>
    <w:rsid w:val="002B29F6"/>
    <w:rsid w:val="002B46CD"/>
    <w:rsid w:val="002B4D29"/>
    <w:rsid w:val="002B6021"/>
    <w:rsid w:val="002B76A7"/>
    <w:rsid w:val="002B76C4"/>
    <w:rsid w:val="002C1800"/>
    <w:rsid w:val="002C2259"/>
    <w:rsid w:val="002C29D6"/>
    <w:rsid w:val="002C547B"/>
    <w:rsid w:val="002C6F36"/>
    <w:rsid w:val="002C717A"/>
    <w:rsid w:val="002C760A"/>
    <w:rsid w:val="002D12B7"/>
    <w:rsid w:val="002E07F9"/>
    <w:rsid w:val="002E1A61"/>
    <w:rsid w:val="002E274A"/>
    <w:rsid w:val="002E4061"/>
    <w:rsid w:val="002E48FC"/>
    <w:rsid w:val="002E6F25"/>
    <w:rsid w:val="002E787F"/>
    <w:rsid w:val="002E7905"/>
    <w:rsid w:val="002F04D1"/>
    <w:rsid w:val="002F07A4"/>
    <w:rsid w:val="002F16BC"/>
    <w:rsid w:val="002F41DB"/>
    <w:rsid w:val="002F66CF"/>
    <w:rsid w:val="002F6BB4"/>
    <w:rsid w:val="002F7301"/>
    <w:rsid w:val="003025A8"/>
    <w:rsid w:val="00303D29"/>
    <w:rsid w:val="003053EA"/>
    <w:rsid w:val="00305FD4"/>
    <w:rsid w:val="00313E5D"/>
    <w:rsid w:val="003178D9"/>
    <w:rsid w:val="00317E46"/>
    <w:rsid w:val="003217F6"/>
    <w:rsid w:val="003227EA"/>
    <w:rsid w:val="00323533"/>
    <w:rsid w:val="003263E1"/>
    <w:rsid w:val="00327942"/>
    <w:rsid w:val="00330130"/>
    <w:rsid w:val="00332B0F"/>
    <w:rsid w:val="00333AAF"/>
    <w:rsid w:val="00333DEB"/>
    <w:rsid w:val="0033500C"/>
    <w:rsid w:val="00335F6F"/>
    <w:rsid w:val="00342038"/>
    <w:rsid w:val="003422EF"/>
    <w:rsid w:val="00342F81"/>
    <w:rsid w:val="00343C7A"/>
    <w:rsid w:val="00346F53"/>
    <w:rsid w:val="003477AF"/>
    <w:rsid w:val="00347CC8"/>
    <w:rsid w:val="003509E2"/>
    <w:rsid w:val="003513CF"/>
    <w:rsid w:val="00352DF3"/>
    <w:rsid w:val="00352E2E"/>
    <w:rsid w:val="00353404"/>
    <w:rsid w:val="0035345B"/>
    <w:rsid w:val="00355E07"/>
    <w:rsid w:val="003612F7"/>
    <w:rsid w:val="00361CDC"/>
    <w:rsid w:val="00362C71"/>
    <w:rsid w:val="00366D0A"/>
    <w:rsid w:val="00370793"/>
    <w:rsid w:val="003712CA"/>
    <w:rsid w:val="003737A8"/>
    <w:rsid w:val="00375095"/>
    <w:rsid w:val="00375930"/>
    <w:rsid w:val="00376185"/>
    <w:rsid w:val="00380C13"/>
    <w:rsid w:val="00384111"/>
    <w:rsid w:val="00390B6E"/>
    <w:rsid w:val="0039240E"/>
    <w:rsid w:val="003929D1"/>
    <w:rsid w:val="003936B1"/>
    <w:rsid w:val="003974FC"/>
    <w:rsid w:val="003A03D9"/>
    <w:rsid w:val="003A1DF8"/>
    <w:rsid w:val="003A2CDB"/>
    <w:rsid w:val="003A402D"/>
    <w:rsid w:val="003A5BB2"/>
    <w:rsid w:val="003B19C3"/>
    <w:rsid w:val="003B1C4B"/>
    <w:rsid w:val="003B2374"/>
    <w:rsid w:val="003B27B9"/>
    <w:rsid w:val="003B37D9"/>
    <w:rsid w:val="003B39FA"/>
    <w:rsid w:val="003B5227"/>
    <w:rsid w:val="003C19CA"/>
    <w:rsid w:val="003C207A"/>
    <w:rsid w:val="003C2CF8"/>
    <w:rsid w:val="003C5D72"/>
    <w:rsid w:val="003D1089"/>
    <w:rsid w:val="003D18A0"/>
    <w:rsid w:val="003D692B"/>
    <w:rsid w:val="003D6BA8"/>
    <w:rsid w:val="003D7DC9"/>
    <w:rsid w:val="003E01EE"/>
    <w:rsid w:val="003E052E"/>
    <w:rsid w:val="003E0861"/>
    <w:rsid w:val="003E0C40"/>
    <w:rsid w:val="003E2C47"/>
    <w:rsid w:val="003E47E9"/>
    <w:rsid w:val="003E536A"/>
    <w:rsid w:val="003E5B41"/>
    <w:rsid w:val="003E6F69"/>
    <w:rsid w:val="003E7C3E"/>
    <w:rsid w:val="003F0B88"/>
    <w:rsid w:val="003F0C6F"/>
    <w:rsid w:val="003F2DFB"/>
    <w:rsid w:val="003F3443"/>
    <w:rsid w:val="003F3530"/>
    <w:rsid w:val="003F4465"/>
    <w:rsid w:val="003F7837"/>
    <w:rsid w:val="004014D9"/>
    <w:rsid w:val="004018DA"/>
    <w:rsid w:val="004044A4"/>
    <w:rsid w:val="00404667"/>
    <w:rsid w:val="0040524F"/>
    <w:rsid w:val="00410149"/>
    <w:rsid w:val="004115A8"/>
    <w:rsid w:val="00411F8E"/>
    <w:rsid w:val="00412279"/>
    <w:rsid w:val="00412727"/>
    <w:rsid w:val="00412D1C"/>
    <w:rsid w:val="00420FAB"/>
    <w:rsid w:val="004232A7"/>
    <w:rsid w:val="00425587"/>
    <w:rsid w:val="00426031"/>
    <w:rsid w:val="00431299"/>
    <w:rsid w:val="00433B1E"/>
    <w:rsid w:val="004349B5"/>
    <w:rsid w:val="0043532F"/>
    <w:rsid w:val="00440201"/>
    <w:rsid w:val="00440B35"/>
    <w:rsid w:val="00442EEA"/>
    <w:rsid w:val="0044342C"/>
    <w:rsid w:val="00443A33"/>
    <w:rsid w:val="004518D9"/>
    <w:rsid w:val="00452F4E"/>
    <w:rsid w:val="00453073"/>
    <w:rsid w:val="00456CA3"/>
    <w:rsid w:val="004573B5"/>
    <w:rsid w:val="0046008D"/>
    <w:rsid w:val="00461B2E"/>
    <w:rsid w:val="0046313B"/>
    <w:rsid w:val="00471715"/>
    <w:rsid w:val="00471E55"/>
    <w:rsid w:val="004755E9"/>
    <w:rsid w:val="00475A9A"/>
    <w:rsid w:val="00481D99"/>
    <w:rsid w:val="004830E7"/>
    <w:rsid w:val="0048327F"/>
    <w:rsid w:val="004836B7"/>
    <w:rsid w:val="00483D98"/>
    <w:rsid w:val="00485430"/>
    <w:rsid w:val="00485B51"/>
    <w:rsid w:val="00486000"/>
    <w:rsid w:val="0049105D"/>
    <w:rsid w:val="0049123C"/>
    <w:rsid w:val="004970C5"/>
    <w:rsid w:val="00497E58"/>
    <w:rsid w:val="00497F69"/>
    <w:rsid w:val="004A002F"/>
    <w:rsid w:val="004A15E4"/>
    <w:rsid w:val="004A1E48"/>
    <w:rsid w:val="004A2C65"/>
    <w:rsid w:val="004A2E52"/>
    <w:rsid w:val="004A5513"/>
    <w:rsid w:val="004B13EA"/>
    <w:rsid w:val="004B240A"/>
    <w:rsid w:val="004B5043"/>
    <w:rsid w:val="004B584B"/>
    <w:rsid w:val="004B7985"/>
    <w:rsid w:val="004C1721"/>
    <w:rsid w:val="004C23E7"/>
    <w:rsid w:val="004C4960"/>
    <w:rsid w:val="004C798F"/>
    <w:rsid w:val="004D0712"/>
    <w:rsid w:val="004D26D6"/>
    <w:rsid w:val="004D3717"/>
    <w:rsid w:val="004D3A2D"/>
    <w:rsid w:val="004D4CD7"/>
    <w:rsid w:val="004D525E"/>
    <w:rsid w:val="004D728D"/>
    <w:rsid w:val="004E0A88"/>
    <w:rsid w:val="004E249F"/>
    <w:rsid w:val="004E48DD"/>
    <w:rsid w:val="004E5506"/>
    <w:rsid w:val="004E623E"/>
    <w:rsid w:val="004F051D"/>
    <w:rsid w:val="004F08AA"/>
    <w:rsid w:val="004F192E"/>
    <w:rsid w:val="004F446E"/>
    <w:rsid w:val="004F4A0C"/>
    <w:rsid w:val="004F7779"/>
    <w:rsid w:val="004F7B64"/>
    <w:rsid w:val="00500370"/>
    <w:rsid w:val="00500CD5"/>
    <w:rsid w:val="00501FBA"/>
    <w:rsid w:val="00502004"/>
    <w:rsid w:val="0050231A"/>
    <w:rsid w:val="0050249F"/>
    <w:rsid w:val="00504401"/>
    <w:rsid w:val="0050473F"/>
    <w:rsid w:val="00506CDA"/>
    <w:rsid w:val="005072A9"/>
    <w:rsid w:val="00512064"/>
    <w:rsid w:val="005125D7"/>
    <w:rsid w:val="005127E4"/>
    <w:rsid w:val="00514B08"/>
    <w:rsid w:val="0051658D"/>
    <w:rsid w:val="00516A60"/>
    <w:rsid w:val="00521028"/>
    <w:rsid w:val="005213CA"/>
    <w:rsid w:val="0052190C"/>
    <w:rsid w:val="00523CF8"/>
    <w:rsid w:val="00527B86"/>
    <w:rsid w:val="00533E8D"/>
    <w:rsid w:val="005363E8"/>
    <w:rsid w:val="0053728B"/>
    <w:rsid w:val="00537F98"/>
    <w:rsid w:val="00540713"/>
    <w:rsid w:val="0054286D"/>
    <w:rsid w:val="00544185"/>
    <w:rsid w:val="00544656"/>
    <w:rsid w:val="00547418"/>
    <w:rsid w:val="00550955"/>
    <w:rsid w:val="00551200"/>
    <w:rsid w:val="005519F1"/>
    <w:rsid w:val="00551E90"/>
    <w:rsid w:val="00552A66"/>
    <w:rsid w:val="005542F0"/>
    <w:rsid w:val="005551A5"/>
    <w:rsid w:val="00556242"/>
    <w:rsid w:val="00561BD2"/>
    <w:rsid w:val="00562035"/>
    <w:rsid w:val="0056376F"/>
    <w:rsid w:val="00563F9E"/>
    <w:rsid w:val="0056429D"/>
    <w:rsid w:val="00564F56"/>
    <w:rsid w:val="00571BCA"/>
    <w:rsid w:val="0057247B"/>
    <w:rsid w:val="005739B9"/>
    <w:rsid w:val="00574C36"/>
    <w:rsid w:val="0057690A"/>
    <w:rsid w:val="00576DCE"/>
    <w:rsid w:val="00582066"/>
    <w:rsid w:val="00582829"/>
    <w:rsid w:val="005828C5"/>
    <w:rsid w:val="005854DA"/>
    <w:rsid w:val="00585FA2"/>
    <w:rsid w:val="005864BB"/>
    <w:rsid w:val="00590DBC"/>
    <w:rsid w:val="00591FDB"/>
    <w:rsid w:val="00594C40"/>
    <w:rsid w:val="0059590E"/>
    <w:rsid w:val="0059797F"/>
    <w:rsid w:val="005A040A"/>
    <w:rsid w:val="005A0D0C"/>
    <w:rsid w:val="005A1C6E"/>
    <w:rsid w:val="005A2256"/>
    <w:rsid w:val="005A22A6"/>
    <w:rsid w:val="005A3C13"/>
    <w:rsid w:val="005A5395"/>
    <w:rsid w:val="005A7186"/>
    <w:rsid w:val="005A74EC"/>
    <w:rsid w:val="005A75F0"/>
    <w:rsid w:val="005B48A4"/>
    <w:rsid w:val="005B5472"/>
    <w:rsid w:val="005B5ACF"/>
    <w:rsid w:val="005C07EF"/>
    <w:rsid w:val="005C15E8"/>
    <w:rsid w:val="005C721F"/>
    <w:rsid w:val="005D22E4"/>
    <w:rsid w:val="005D28FC"/>
    <w:rsid w:val="005D347E"/>
    <w:rsid w:val="005D4170"/>
    <w:rsid w:val="005D5F7E"/>
    <w:rsid w:val="005E1F17"/>
    <w:rsid w:val="005E3AEE"/>
    <w:rsid w:val="005E3DAF"/>
    <w:rsid w:val="005E4667"/>
    <w:rsid w:val="005E5762"/>
    <w:rsid w:val="005E6052"/>
    <w:rsid w:val="005E6706"/>
    <w:rsid w:val="005F0393"/>
    <w:rsid w:val="005F33E4"/>
    <w:rsid w:val="005F37AE"/>
    <w:rsid w:val="005F3B79"/>
    <w:rsid w:val="005F6A1E"/>
    <w:rsid w:val="005F7278"/>
    <w:rsid w:val="00604144"/>
    <w:rsid w:val="00604CF1"/>
    <w:rsid w:val="0060707C"/>
    <w:rsid w:val="00610166"/>
    <w:rsid w:val="00610B04"/>
    <w:rsid w:val="00610F9A"/>
    <w:rsid w:val="00611B7F"/>
    <w:rsid w:val="0061314B"/>
    <w:rsid w:val="00613322"/>
    <w:rsid w:val="006144FB"/>
    <w:rsid w:val="00615EB6"/>
    <w:rsid w:val="006172DE"/>
    <w:rsid w:val="00617F9E"/>
    <w:rsid w:val="00623C21"/>
    <w:rsid w:val="0062736D"/>
    <w:rsid w:val="006274F9"/>
    <w:rsid w:val="00630477"/>
    <w:rsid w:val="006310A0"/>
    <w:rsid w:val="0063121C"/>
    <w:rsid w:val="006313A7"/>
    <w:rsid w:val="006320C0"/>
    <w:rsid w:val="00633C90"/>
    <w:rsid w:val="00636AF1"/>
    <w:rsid w:val="0063756C"/>
    <w:rsid w:val="00640422"/>
    <w:rsid w:val="00640CE0"/>
    <w:rsid w:val="006421F9"/>
    <w:rsid w:val="00643D36"/>
    <w:rsid w:val="00646B75"/>
    <w:rsid w:val="0064707D"/>
    <w:rsid w:val="0065122D"/>
    <w:rsid w:val="00652DFB"/>
    <w:rsid w:val="006547BB"/>
    <w:rsid w:val="00654E29"/>
    <w:rsid w:val="006556DD"/>
    <w:rsid w:val="00655C33"/>
    <w:rsid w:val="00665FB1"/>
    <w:rsid w:val="0067535F"/>
    <w:rsid w:val="00675483"/>
    <w:rsid w:val="00675CA7"/>
    <w:rsid w:val="00675FBA"/>
    <w:rsid w:val="0067729C"/>
    <w:rsid w:val="006809B5"/>
    <w:rsid w:val="00681DB2"/>
    <w:rsid w:val="006833E2"/>
    <w:rsid w:val="00684ADA"/>
    <w:rsid w:val="00684CAE"/>
    <w:rsid w:val="0068574A"/>
    <w:rsid w:val="006859EA"/>
    <w:rsid w:val="00686C22"/>
    <w:rsid w:val="00690A8A"/>
    <w:rsid w:val="00690FDD"/>
    <w:rsid w:val="006911A4"/>
    <w:rsid w:val="0069258B"/>
    <w:rsid w:val="00694CD0"/>
    <w:rsid w:val="006A102B"/>
    <w:rsid w:val="006A2285"/>
    <w:rsid w:val="006A26FB"/>
    <w:rsid w:val="006A2738"/>
    <w:rsid w:val="006A3654"/>
    <w:rsid w:val="006A457B"/>
    <w:rsid w:val="006A698B"/>
    <w:rsid w:val="006A77E2"/>
    <w:rsid w:val="006B105E"/>
    <w:rsid w:val="006B11CA"/>
    <w:rsid w:val="006B45AC"/>
    <w:rsid w:val="006B48A4"/>
    <w:rsid w:val="006B6206"/>
    <w:rsid w:val="006B6483"/>
    <w:rsid w:val="006C3657"/>
    <w:rsid w:val="006C4478"/>
    <w:rsid w:val="006C457E"/>
    <w:rsid w:val="006C58DE"/>
    <w:rsid w:val="006C683C"/>
    <w:rsid w:val="006D2099"/>
    <w:rsid w:val="006D2BD4"/>
    <w:rsid w:val="006D470B"/>
    <w:rsid w:val="006D54B1"/>
    <w:rsid w:val="006D6DAD"/>
    <w:rsid w:val="006E0CCE"/>
    <w:rsid w:val="006E1D57"/>
    <w:rsid w:val="006E23F1"/>
    <w:rsid w:val="006E29D0"/>
    <w:rsid w:val="006E3ACD"/>
    <w:rsid w:val="006E51D9"/>
    <w:rsid w:val="006E5983"/>
    <w:rsid w:val="006F1392"/>
    <w:rsid w:val="006F78A8"/>
    <w:rsid w:val="00700443"/>
    <w:rsid w:val="0070045E"/>
    <w:rsid w:val="00702C3B"/>
    <w:rsid w:val="00703612"/>
    <w:rsid w:val="00704FCE"/>
    <w:rsid w:val="00706214"/>
    <w:rsid w:val="00710C19"/>
    <w:rsid w:val="00710FC9"/>
    <w:rsid w:val="00721774"/>
    <w:rsid w:val="0072237A"/>
    <w:rsid w:val="00722E9F"/>
    <w:rsid w:val="00724908"/>
    <w:rsid w:val="00725B5C"/>
    <w:rsid w:val="00726234"/>
    <w:rsid w:val="00726537"/>
    <w:rsid w:val="00727623"/>
    <w:rsid w:val="00735334"/>
    <w:rsid w:val="0073557B"/>
    <w:rsid w:val="00735779"/>
    <w:rsid w:val="00735ED8"/>
    <w:rsid w:val="007363D2"/>
    <w:rsid w:val="00736B3B"/>
    <w:rsid w:val="007413AA"/>
    <w:rsid w:val="00741F96"/>
    <w:rsid w:val="0074465B"/>
    <w:rsid w:val="00744F79"/>
    <w:rsid w:val="007456BE"/>
    <w:rsid w:val="0074616B"/>
    <w:rsid w:val="00747426"/>
    <w:rsid w:val="007477A5"/>
    <w:rsid w:val="00750AEB"/>
    <w:rsid w:val="00751376"/>
    <w:rsid w:val="00751D83"/>
    <w:rsid w:val="00752E6D"/>
    <w:rsid w:val="00753B7B"/>
    <w:rsid w:val="00753D71"/>
    <w:rsid w:val="00755788"/>
    <w:rsid w:val="007564E1"/>
    <w:rsid w:val="00760374"/>
    <w:rsid w:val="00763531"/>
    <w:rsid w:val="00764C55"/>
    <w:rsid w:val="00766676"/>
    <w:rsid w:val="00766746"/>
    <w:rsid w:val="00771145"/>
    <w:rsid w:val="0077463E"/>
    <w:rsid w:val="00775482"/>
    <w:rsid w:val="0078131A"/>
    <w:rsid w:val="00782143"/>
    <w:rsid w:val="007821A1"/>
    <w:rsid w:val="00785325"/>
    <w:rsid w:val="00785CE3"/>
    <w:rsid w:val="00786EDF"/>
    <w:rsid w:val="00787597"/>
    <w:rsid w:val="00793FA1"/>
    <w:rsid w:val="00794989"/>
    <w:rsid w:val="00796929"/>
    <w:rsid w:val="007A235A"/>
    <w:rsid w:val="007A6E1C"/>
    <w:rsid w:val="007B0342"/>
    <w:rsid w:val="007B0A23"/>
    <w:rsid w:val="007B0A3D"/>
    <w:rsid w:val="007B0DBC"/>
    <w:rsid w:val="007B287E"/>
    <w:rsid w:val="007B587C"/>
    <w:rsid w:val="007B7AF1"/>
    <w:rsid w:val="007B7CBC"/>
    <w:rsid w:val="007C06CE"/>
    <w:rsid w:val="007C0D05"/>
    <w:rsid w:val="007C4446"/>
    <w:rsid w:val="007D0271"/>
    <w:rsid w:val="007D09DE"/>
    <w:rsid w:val="007D1260"/>
    <w:rsid w:val="007D4A2C"/>
    <w:rsid w:val="007D4BBA"/>
    <w:rsid w:val="007D5959"/>
    <w:rsid w:val="007D6FB5"/>
    <w:rsid w:val="007D740A"/>
    <w:rsid w:val="007E146B"/>
    <w:rsid w:val="007E1E82"/>
    <w:rsid w:val="007F0C5D"/>
    <w:rsid w:val="007F1DBA"/>
    <w:rsid w:val="007F40A9"/>
    <w:rsid w:val="00800A21"/>
    <w:rsid w:val="0080244D"/>
    <w:rsid w:val="00803519"/>
    <w:rsid w:val="008043E4"/>
    <w:rsid w:val="00805AE6"/>
    <w:rsid w:val="00811A90"/>
    <w:rsid w:val="00812450"/>
    <w:rsid w:val="00814D70"/>
    <w:rsid w:val="00822968"/>
    <w:rsid w:val="00822D9D"/>
    <w:rsid w:val="0082337C"/>
    <w:rsid w:val="008253BA"/>
    <w:rsid w:val="008257DA"/>
    <w:rsid w:val="0082765E"/>
    <w:rsid w:val="00827B9A"/>
    <w:rsid w:val="00830466"/>
    <w:rsid w:val="008323F2"/>
    <w:rsid w:val="008325D2"/>
    <w:rsid w:val="008329B3"/>
    <w:rsid w:val="00832D83"/>
    <w:rsid w:val="00835DD0"/>
    <w:rsid w:val="00840D5B"/>
    <w:rsid w:val="00843EF2"/>
    <w:rsid w:val="00845E43"/>
    <w:rsid w:val="00850BDD"/>
    <w:rsid w:val="00851A3E"/>
    <w:rsid w:val="00852C10"/>
    <w:rsid w:val="00855AB1"/>
    <w:rsid w:val="00856148"/>
    <w:rsid w:val="00856B93"/>
    <w:rsid w:val="00857E77"/>
    <w:rsid w:val="00861776"/>
    <w:rsid w:val="008623DE"/>
    <w:rsid w:val="0086346B"/>
    <w:rsid w:val="00865C76"/>
    <w:rsid w:val="0086767B"/>
    <w:rsid w:val="0087216E"/>
    <w:rsid w:val="00873214"/>
    <w:rsid w:val="00873C9C"/>
    <w:rsid w:val="00876DF5"/>
    <w:rsid w:val="008777F3"/>
    <w:rsid w:val="0088104D"/>
    <w:rsid w:val="00882511"/>
    <w:rsid w:val="008850CA"/>
    <w:rsid w:val="00887BA3"/>
    <w:rsid w:val="00890F7A"/>
    <w:rsid w:val="008919DF"/>
    <w:rsid w:val="008924A4"/>
    <w:rsid w:val="00894627"/>
    <w:rsid w:val="00894D71"/>
    <w:rsid w:val="00895779"/>
    <w:rsid w:val="008964DC"/>
    <w:rsid w:val="0089680A"/>
    <w:rsid w:val="0089738C"/>
    <w:rsid w:val="008A1C24"/>
    <w:rsid w:val="008A27F3"/>
    <w:rsid w:val="008A6566"/>
    <w:rsid w:val="008B0DA0"/>
    <w:rsid w:val="008B2D1B"/>
    <w:rsid w:val="008B30E5"/>
    <w:rsid w:val="008B4106"/>
    <w:rsid w:val="008B6BC5"/>
    <w:rsid w:val="008B6F41"/>
    <w:rsid w:val="008B762F"/>
    <w:rsid w:val="008B7717"/>
    <w:rsid w:val="008C0B1C"/>
    <w:rsid w:val="008C4E12"/>
    <w:rsid w:val="008C51DC"/>
    <w:rsid w:val="008D181B"/>
    <w:rsid w:val="008D3D07"/>
    <w:rsid w:val="008D77DE"/>
    <w:rsid w:val="008E0490"/>
    <w:rsid w:val="008E0C59"/>
    <w:rsid w:val="008E1A7F"/>
    <w:rsid w:val="008E209B"/>
    <w:rsid w:val="008E2616"/>
    <w:rsid w:val="008E6C05"/>
    <w:rsid w:val="008E6C0B"/>
    <w:rsid w:val="008E6D6A"/>
    <w:rsid w:val="008E6EAC"/>
    <w:rsid w:val="008E7181"/>
    <w:rsid w:val="008F0B72"/>
    <w:rsid w:val="008F3696"/>
    <w:rsid w:val="008F6D14"/>
    <w:rsid w:val="008F7CA5"/>
    <w:rsid w:val="00907024"/>
    <w:rsid w:val="009119B6"/>
    <w:rsid w:val="00913F9D"/>
    <w:rsid w:val="0091432C"/>
    <w:rsid w:val="00914BBC"/>
    <w:rsid w:val="009152F9"/>
    <w:rsid w:val="009201BF"/>
    <w:rsid w:val="00921321"/>
    <w:rsid w:val="00922064"/>
    <w:rsid w:val="0092288A"/>
    <w:rsid w:val="00925CB3"/>
    <w:rsid w:val="00926DFA"/>
    <w:rsid w:val="00926F66"/>
    <w:rsid w:val="009310AB"/>
    <w:rsid w:val="00932695"/>
    <w:rsid w:val="0093295B"/>
    <w:rsid w:val="00933500"/>
    <w:rsid w:val="00934A13"/>
    <w:rsid w:val="00934FBC"/>
    <w:rsid w:val="00935414"/>
    <w:rsid w:val="009356DD"/>
    <w:rsid w:val="00936E2B"/>
    <w:rsid w:val="00940739"/>
    <w:rsid w:val="00940E42"/>
    <w:rsid w:val="0094208B"/>
    <w:rsid w:val="00944ADB"/>
    <w:rsid w:val="009462C5"/>
    <w:rsid w:val="009475CF"/>
    <w:rsid w:val="00952B8F"/>
    <w:rsid w:val="00952D67"/>
    <w:rsid w:val="009571E0"/>
    <w:rsid w:val="009602C6"/>
    <w:rsid w:val="00962551"/>
    <w:rsid w:val="00962AF6"/>
    <w:rsid w:val="00963BA1"/>
    <w:rsid w:val="00963C13"/>
    <w:rsid w:val="00966312"/>
    <w:rsid w:val="009707C1"/>
    <w:rsid w:val="00971134"/>
    <w:rsid w:val="00972B53"/>
    <w:rsid w:val="00972BC2"/>
    <w:rsid w:val="0097614A"/>
    <w:rsid w:val="00982213"/>
    <w:rsid w:val="00983013"/>
    <w:rsid w:val="00983F19"/>
    <w:rsid w:val="00985BF8"/>
    <w:rsid w:val="00987463"/>
    <w:rsid w:val="0099013E"/>
    <w:rsid w:val="00990B16"/>
    <w:rsid w:val="00990E48"/>
    <w:rsid w:val="009932BC"/>
    <w:rsid w:val="00995A20"/>
    <w:rsid w:val="00995D59"/>
    <w:rsid w:val="00996CCE"/>
    <w:rsid w:val="009A1597"/>
    <w:rsid w:val="009A2A25"/>
    <w:rsid w:val="009A3B1F"/>
    <w:rsid w:val="009A3BD3"/>
    <w:rsid w:val="009B1154"/>
    <w:rsid w:val="009B17CD"/>
    <w:rsid w:val="009B2D5B"/>
    <w:rsid w:val="009B503F"/>
    <w:rsid w:val="009B62D3"/>
    <w:rsid w:val="009B6FCF"/>
    <w:rsid w:val="009C2E2C"/>
    <w:rsid w:val="009C7947"/>
    <w:rsid w:val="009D0084"/>
    <w:rsid w:val="009D5410"/>
    <w:rsid w:val="009D55B8"/>
    <w:rsid w:val="009D5A44"/>
    <w:rsid w:val="009D63FB"/>
    <w:rsid w:val="009E2E1D"/>
    <w:rsid w:val="009E308B"/>
    <w:rsid w:val="009E4965"/>
    <w:rsid w:val="009E546B"/>
    <w:rsid w:val="009E5F09"/>
    <w:rsid w:val="009E70DD"/>
    <w:rsid w:val="009F1405"/>
    <w:rsid w:val="009F3B03"/>
    <w:rsid w:val="009F7E3B"/>
    <w:rsid w:val="00A00046"/>
    <w:rsid w:val="00A01757"/>
    <w:rsid w:val="00A0312C"/>
    <w:rsid w:val="00A043E4"/>
    <w:rsid w:val="00A047B7"/>
    <w:rsid w:val="00A04882"/>
    <w:rsid w:val="00A0703F"/>
    <w:rsid w:val="00A07F51"/>
    <w:rsid w:val="00A105AF"/>
    <w:rsid w:val="00A10D93"/>
    <w:rsid w:val="00A11F03"/>
    <w:rsid w:val="00A1407D"/>
    <w:rsid w:val="00A14438"/>
    <w:rsid w:val="00A15C65"/>
    <w:rsid w:val="00A160E1"/>
    <w:rsid w:val="00A177D3"/>
    <w:rsid w:val="00A21126"/>
    <w:rsid w:val="00A22916"/>
    <w:rsid w:val="00A22C67"/>
    <w:rsid w:val="00A22D88"/>
    <w:rsid w:val="00A23332"/>
    <w:rsid w:val="00A23496"/>
    <w:rsid w:val="00A2414C"/>
    <w:rsid w:val="00A24CD1"/>
    <w:rsid w:val="00A24EFD"/>
    <w:rsid w:val="00A261CD"/>
    <w:rsid w:val="00A26535"/>
    <w:rsid w:val="00A26B4A"/>
    <w:rsid w:val="00A32BE8"/>
    <w:rsid w:val="00A333AB"/>
    <w:rsid w:val="00A334F0"/>
    <w:rsid w:val="00A3781C"/>
    <w:rsid w:val="00A4004C"/>
    <w:rsid w:val="00A40B03"/>
    <w:rsid w:val="00A410E0"/>
    <w:rsid w:val="00A41808"/>
    <w:rsid w:val="00A42020"/>
    <w:rsid w:val="00A42822"/>
    <w:rsid w:val="00A43652"/>
    <w:rsid w:val="00A454B5"/>
    <w:rsid w:val="00A45AB2"/>
    <w:rsid w:val="00A46142"/>
    <w:rsid w:val="00A4766E"/>
    <w:rsid w:val="00A50BAE"/>
    <w:rsid w:val="00A5114D"/>
    <w:rsid w:val="00A51DD1"/>
    <w:rsid w:val="00A52EC7"/>
    <w:rsid w:val="00A5426F"/>
    <w:rsid w:val="00A54727"/>
    <w:rsid w:val="00A56517"/>
    <w:rsid w:val="00A56A9B"/>
    <w:rsid w:val="00A57303"/>
    <w:rsid w:val="00A57837"/>
    <w:rsid w:val="00A60C6F"/>
    <w:rsid w:val="00A62FBB"/>
    <w:rsid w:val="00A63F3A"/>
    <w:rsid w:val="00A671F7"/>
    <w:rsid w:val="00A70AFD"/>
    <w:rsid w:val="00A71A43"/>
    <w:rsid w:val="00A7271A"/>
    <w:rsid w:val="00A733DF"/>
    <w:rsid w:val="00A7398A"/>
    <w:rsid w:val="00A74245"/>
    <w:rsid w:val="00A74E3E"/>
    <w:rsid w:val="00A75F73"/>
    <w:rsid w:val="00A765D8"/>
    <w:rsid w:val="00A767A0"/>
    <w:rsid w:val="00A81578"/>
    <w:rsid w:val="00A81EE4"/>
    <w:rsid w:val="00A828A4"/>
    <w:rsid w:val="00A852D9"/>
    <w:rsid w:val="00A8632E"/>
    <w:rsid w:val="00A87547"/>
    <w:rsid w:val="00A879BA"/>
    <w:rsid w:val="00A9178B"/>
    <w:rsid w:val="00A91D41"/>
    <w:rsid w:val="00A92103"/>
    <w:rsid w:val="00A9216D"/>
    <w:rsid w:val="00A93659"/>
    <w:rsid w:val="00A95912"/>
    <w:rsid w:val="00A95A61"/>
    <w:rsid w:val="00A963F0"/>
    <w:rsid w:val="00A969B1"/>
    <w:rsid w:val="00A973F1"/>
    <w:rsid w:val="00A97A89"/>
    <w:rsid w:val="00AA110F"/>
    <w:rsid w:val="00AB1D5B"/>
    <w:rsid w:val="00AB7C1F"/>
    <w:rsid w:val="00AC1AB7"/>
    <w:rsid w:val="00AC236B"/>
    <w:rsid w:val="00AC337F"/>
    <w:rsid w:val="00AC3A76"/>
    <w:rsid w:val="00AC52C5"/>
    <w:rsid w:val="00AC6128"/>
    <w:rsid w:val="00AD0538"/>
    <w:rsid w:val="00AD1FD6"/>
    <w:rsid w:val="00AD5934"/>
    <w:rsid w:val="00AD70B5"/>
    <w:rsid w:val="00AE152E"/>
    <w:rsid w:val="00AE1FBA"/>
    <w:rsid w:val="00AE30DF"/>
    <w:rsid w:val="00AE3D7E"/>
    <w:rsid w:val="00AE519D"/>
    <w:rsid w:val="00AE6D35"/>
    <w:rsid w:val="00AE725E"/>
    <w:rsid w:val="00AF024A"/>
    <w:rsid w:val="00AF2390"/>
    <w:rsid w:val="00AF46D7"/>
    <w:rsid w:val="00AF48C1"/>
    <w:rsid w:val="00AF4E24"/>
    <w:rsid w:val="00AF5AF3"/>
    <w:rsid w:val="00B00423"/>
    <w:rsid w:val="00B01017"/>
    <w:rsid w:val="00B01C1A"/>
    <w:rsid w:val="00B02100"/>
    <w:rsid w:val="00B0423A"/>
    <w:rsid w:val="00B04D59"/>
    <w:rsid w:val="00B05089"/>
    <w:rsid w:val="00B06FD0"/>
    <w:rsid w:val="00B07EEF"/>
    <w:rsid w:val="00B12B20"/>
    <w:rsid w:val="00B164FE"/>
    <w:rsid w:val="00B16A02"/>
    <w:rsid w:val="00B20858"/>
    <w:rsid w:val="00B21C27"/>
    <w:rsid w:val="00B22E08"/>
    <w:rsid w:val="00B25940"/>
    <w:rsid w:val="00B30B03"/>
    <w:rsid w:val="00B3186F"/>
    <w:rsid w:val="00B32C53"/>
    <w:rsid w:val="00B33DF2"/>
    <w:rsid w:val="00B354CC"/>
    <w:rsid w:val="00B35F63"/>
    <w:rsid w:val="00B3711E"/>
    <w:rsid w:val="00B407AC"/>
    <w:rsid w:val="00B40981"/>
    <w:rsid w:val="00B41ABA"/>
    <w:rsid w:val="00B45395"/>
    <w:rsid w:val="00B506A4"/>
    <w:rsid w:val="00B510C4"/>
    <w:rsid w:val="00B52B29"/>
    <w:rsid w:val="00B56322"/>
    <w:rsid w:val="00B617AB"/>
    <w:rsid w:val="00B62488"/>
    <w:rsid w:val="00B62DAE"/>
    <w:rsid w:val="00B64CE7"/>
    <w:rsid w:val="00B664DB"/>
    <w:rsid w:val="00B6682B"/>
    <w:rsid w:val="00B66CE1"/>
    <w:rsid w:val="00B705B2"/>
    <w:rsid w:val="00B7144E"/>
    <w:rsid w:val="00B71EBB"/>
    <w:rsid w:val="00B7415D"/>
    <w:rsid w:val="00B75550"/>
    <w:rsid w:val="00B75FE6"/>
    <w:rsid w:val="00B77A44"/>
    <w:rsid w:val="00B80AA5"/>
    <w:rsid w:val="00B8190F"/>
    <w:rsid w:val="00B83DF3"/>
    <w:rsid w:val="00B84DC1"/>
    <w:rsid w:val="00B94171"/>
    <w:rsid w:val="00B96E1B"/>
    <w:rsid w:val="00B9704A"/>
    <w:rsid w:val="00B976BA"/>
    <w:rsid w:val="00B977BC"/>
    <w:rsid w:val="00BA1077"/>
    <w:rsid w:val="00BA1B7D"/>
    <w:rsid w:val="00BA1D79"/>
    <w:rsid w:val="00BA20A9"/>
    <w:rsid w:val="00BA413E"/>
    <w:rsid w:val="00BA5136"/>
    <w:rsid w:val="00BB4905"/>
    <w:rsid w:val="00BB59E0"/>
    <w:rsid w:val="00BB772A"/>
    <w:rsid w:val="00BC0090"/>
    <w:rsid w:val="00BC0C6C"/>
    <w:rsid w:val="00BC5053"/>
    <w:rsid w:val="00BC5AA3"/>
    <w:rsid w:val="00BD1442"/>
    <w:rsid w:val="00BD349A"/>
    <w:rsid w:val="00BD3603"/>
    <w:rsid w:val="00BD3706"/>
    <w:rsid w:val="00BD5A90"/>
    <w:rsid w:val="00BD6651"/>
    <w:rsid w:val="00BD7F5C"/>
    <w:rsid w:val="00BE04C4"/>
    <w:rsid w:val="00BE0B42"/>
    <w:rsid w:val="00BE0DBA"/>
    <w:rsid w:val="00BE1B85"/>
    <w:rsid w:val="00BE240D"/>
    <w:rsid w:val="00BE34B5"/>
    <w:rsid w:val="00BE7379"/>
    <w:rsid w:val="00BE7FA0"/>
    <w:rsid w:val="00BF0A58"/>
    <w:rsid w:val="00BF216A"/>
    <w:rsid w:val="00BF2304"/>
    <w:rsid w:val="00BF2B95"/>
    <w:rsid w:val="00BF2BD6"/>
    <w:rsid w:val="00BF2CA4"/>
    <w:rsid w:val="00BF3B55"/>
    <w:rsid w:val="00BF55A4"/>
    <w:rsid w:val="00BF581D"/>
    <w:rsid w:val="00BF5C1C"/>
    <w:rsid w:val="00BF62A7"/>
    <w:rsid w:val="00BF721B"/>
    <w:rsid w:val="00BF7621"/>
    <w:rsid w:val="00C01624"/>
    <w:rsid w:val="00C02F5B"/>
    <w:rsid w:val="00C06353"/>
    <w:rsid w:val="00C10D5E"/>
    <w:rsid w:val="00C15BE5"/>
    <w:rsid w:val="00C162C1"/>
    <w:rsid w:val="00C203E7"/>
    <w:rsid w:val="00C2053E"/>
    <w:rsid w:val="00C23408"/>
    <w:rsid w:val="00C249AB"/>
    <w:rsid w:val="00C31D25"/>
    <w:rsid w:val="00C31EEE"/>
    <w:rsid w:val="00C34810"/>
    <w:rsid w:val="00C34896"/>
    <w:rsid w:val="00C3703D"/>
    <w:rsid w:val="00C50309"/>
    <w:rsid w:val="00C50636"/>
    <w:rsid w:val="00C515B7"/>
    <w:rsid w:val="00C51C43"/>
    <w:rsid w:val="00C52C7C"/>
    <w:rsid w:val="00C52FE1"/>
    <w:rsid w:val="00C55A39"/>
    <w:rsid w:val="00C55DA7"/>
    <w:rsid w:val="00C57DFE"/>
    <w:rsid w:val="00C60500"/>
    <w:rsid w:val="00C638D0"/>
    <w:rsid w:val="00C677A4"/>
    <w:rsid w:val="00C67C01"/>
    <w:rsid w:val="00C7411F"/>
    <w:rsid w:val="00C76AC7"/>
    <w:rsid w:val="00C81F2F"/>
    <w:rsid w:val="00C825AF"/>
    <w:rsid w:val="00C82ADC"/>
    <w:rsid w:val="00C8772E"/>
    <w:rsid w:val="00C87CDB"/>
    <w:rsid w:val="00C918D7"/>
    <w:rsid w:val="00C9283A"/>
    <w:rsid w:val="00C94047"/>
    <w:rsid w:val="00C95350"/>
    <w:rsid w:val="00C955F4"/>
    <w:rsid w:val="00C95841"/>
    <w:rsid w:val="00C96D35"/>
    <w:rsid w:val="00CA0249"/>
    <w:rsid w:val="00CA29BE"/>
    <w:rsid w:val="00CA436B"/>
    <w:rsid w:val="00CA45B0"/>
    <w:rsid w:val="00CA57C9"/>
    <w:rsid w:val="00CA710D"/>
    <w:rsid w:val="00CB11D7"/>
    <w:rsid w:val="00CB1A07"/>
    <w:rsid w:val="00CB23D3"/>
    <w:rsid w:val="00CB2C6C"/>
    <w:rsid w:val="00CB3DD7"/>
    <w:rsid w:val="00CB6357"/>
    <w:rsid w:val="00CB6598"/>
    <w:rsid w:val="00CB67BA"/>
    <w:rsid w:val="00CB6CF8"/>
    <w:rsid w:val="00CC08C9"/>
    <w:rsid w:val="00CC1ADC"/>
    <w:rsid w:val="00CC52D0"/>
    <w:rsid w:val="00CC62CA"/>
    <w:rsid w:val="00CC70C7"/>
    <w:rsid w:val="00CD0AA7"/>
    <w:rsid w:val="00CD123D"/>
    <w:rsid w:val="00CD133F"/>
    <w:rsid w:val="00CD77FE"/>
    <w:rsid w:val="00CD7FD4"/>
    <w:rsid w:val="00CE033B"/>
    <w:rsid w:val="00CE0FF0"/>
    <w:rsid w:val="00CE1C3C"/>
    <w:rsid w:val="00CE1C59"/>
    <w:rsid w:val="00CE3DE0"/>
    <w:rsid w:val="00CE554C"/>
    <w:rsid w:val="00CE579E"/>
    <w:rsid w:val="00CE5943"/>
    <w:rsid w:val="00CF011D"/>
    <w:rsid w:val="00CF149A"/>
    <w:rsid w:val="00CF3049"/>
    <w:rsid w:val="00CF33E2"/>
    <w:rsid w:val="00CF36B2"/>
    <w:rsid w:val="00CF51C9"/>
    <w:rsid w:val="00CF5F69"/>
    <w:rsid w:val="00CF60AE"/>
    <w:rsid w:val="00CF6DCD"/>
    <w:rsid w:val="00D000FB"/>
    <w:rsid w:val="00D0082D"/>
    <w:rsid w:val="00D01370"/>
    <w:rsid w:val="00D01C9F"/>
    <w:rsid w:val="00D028C3"/>
    <w:rsid w:val="00D04AEC"/>
    <w:rsid w:val="00D10C00"/>
    <w:rsid w:val="00D10E44"/>
    <w:rsid w:val="00D127B7"/>
    <w:rsid w:val="00D16E34"/>
    <w:rsid w:val="00D20CED"/>
    <w:rsid w:val="00D22090"/>
    <w:rsid w:val="00D2246C"/>
    <w:rsid w:val="00D227BD"/>
    <w:rsid w:val="00D23623"/>
    <w:rsid w:val="00D247A8"/>
    <w:rsid w:val="00D31B3D"/>
    <w:rsid w:val="00D31FDA"/>
    <w:rsid w:val="00D36501"/>
    <w:rsid w:val="00D41A4F"/>
    <w:rsid w:val="00D43111"/>
    <w:rsid w:val="00D43D87"/>
    <w:rsid w:val="00D44879"/>
    <w:rsid w:val="00D45F5F"/>
    <w:rsid w:val="00D47AC1"/>
    <w:rsid w:val="00D50E1D"/>
    <w:rsid w:val="00D5363C"/>
    <w:rsid w:val="00D53E46"/>
    <w:rsid w:val="00D5470D"/>
    <w:rsid w:val="00D5690C"/>
    <w:rsid w:val="00D56E22"/>
    <w:rsid w:val="00D60823"/>
    <w:rsid w:val="00D60F2A"/>
    <w:rsid w:val="00D60F9C"/>
    <w:rsid w:val="00D62F97"/>
    <w:rsid w:val="00D67E9B"/>
    <w:rsid w:val="00D708F6"/>
    <w:rsid w:val="00D70DC7"/>
    <w:rsid w:val="00D70EF5"/>
    <w:rsid w:val="00D73364"/>
    <w:rsid w:val="00D74B34"/>
    <w:rsid w:val="00D76CB8"/>
    <w:rsid w:val="00D76DAA"/>
    <w:rsid w:val="00D826C6"/>
    <w:rsid w:val="00D83570"/>
    <w:rsid w:val="00D84599"/>
    <w:rsid w:val="00D84676"/>
    <w:rsid w:val="00D85588"/>
    <w:rsid w:val="00D875EE"/>
    <w:rsid w:val="00D906CD"/>
    <w:rsid w:val="00D90F4B"/>
    <w:rsid w:val="00DA0303"/>
    <w:rsid w:val="00DA1B00"/>
    <w:rsid w:val="00DA2FF3"/>
    <w:rsid w:val="00DA38C0"/>
    <w:rsid w:val="00DA3D2E"/>
    <w:rsid w:val="00DA4CC5"/>
    <w:rsid w:val="00DA5B7D"/>
    <w:rsid w:val="00DA5EDB"/>
    <w:rsid w:val="00DA75B3"/>
    <w:rsid w:val="00DA7A3C"/>
    <w:rsid w:val="00DA7B18"/>
    <w:rsid w:val="00DA7F7D"/>
    <w:rsid w:val="00DB06FD"/>
    <w:rsid w:val="00DB1906"/>
    <w:rsid w:val="00DB23CA"/>
    <w:rsid w:val="00DB3678"/>
    <w:rsid w:val="00DB621C"/>
    <w:rsid w:val="00DC0217"/>
    <w:rsid w:val="00DC2370"/>
    <w:rsid w:val="00DC3EC8"/>
    <w:rsid w:val="00DC6A13"/>
    <w:rsid w:val="00DC7DD5"/>
    <w:rsid w:val="00DD17F3"/>
    <w:rsid w:val="00DD4A2E"/>
    <w:rsid w:val="00DD6939"/>
    <w:rsid w:val="00DE1A6F"/>
    <w:rsid w:val="00DE36EA"/>
    <w:rsid w:val="00DE6B39"/>
    <w:rsid w:val="00DE7F3D"/>
    <w:rsid w:val="00DF000B"/>
    <w:rsid w:val="00DF11C7"/>
    <w:rsid w:val="00DF296F"/>
    <w:rsid w:val="00DF3227"/>
    <w:rsid w:val="00DF4B7E"/>
    <w:rsid w:val="00DF4EB2"/>
    <w:rsid w:val="00DF5069"/>
    <w:rsid w:val="00DF7C87"/>
    <w:rsid w:val="00E009CE"/>
    <w:rsid w:val="00E015D0"/>
    <w:rsid w:val="00E02926"/>
    <w:rsid w:val="00E04CD5"/>
    <w:rsid w:val="00E122F0"/>
    <w:rsid w:val="00E21694"/>
    <w:rsid w:val="00E23838"/>
    <w:rsid w:val="00E23FF7"/>
    <w:rsid w:val="00E2575E"/>
    <w:rsid w:val="00E304E5"/>
    <w:rsid w:val="00E31AEE"/>
    <w:rsid w:val="00E32222"/>
    <w:rsid w:val="00E33FBB"/>
    <w:rsid w:val="00E36FA4"/>
    <w:rsid w:val="00E40AB6"/>
    <w:rsid w:val="00E40C8F"/>
    <w:rsid w:val="00E41F7A"/>
    <w:rsid w:val="00E43701"/>
    <w:rsid w:val="00E46BD1"/>
    <w:rsid w:val="00E46F25"/>
    <w:rsid w:val="00E4782D"/>
    <w:rsid w:val="00E47D04"/>
    <w:rsid w:val="00E55D35"/>
    <w:rsid w:val="00E56DD3"/>
    <w:rsid w:val="00E6143F"/>
    <w:rsid w:val="00E61445"/>
    <w:rsid w:val="00E62813"/>
    <w:rsid w:val="00E62A9B"/>
    <w:rsid w:val="00E62D1F"/>
    <w:rsid w:val="00E64183"/>
    <w:rsid w:val="00E642A9"/>
    <w:rsid w:val="00E73163"/>
    <w:rsid w:val="00E736E7"/>
    <w:rsid w:val="00E73978"/>
    <w:rsid w:val="00E74691"/>
    <w:rsid w:val="00E76326"/>
    <w:rsid w:val="00E775FB"/>
    <w:rsid w:val="00E80589"/>
    <w:rsid w:val="00E81C93"/>
    <w:rsid w:val="00E841BA"/>
    <w:rsid w:val="00E8428B"/>
    <w:rsid w:val="00E84D22"/>
    <w:rsid w:val="00E85C04"/>
    <w:rsid w:val="00E931D7"/>
    <w:rsid w:val="00E94D82"/>
    <w:rsid w:val="00E9539B"/>
    <w:rsid w:val="00E96009"/>
    <w:rsid w:val="00EA0C45"/>
    <w:rsid w:val="00EA1572"/>
    <w:rsid w:val="00EA1B3A"/>
    <w:rsid w:val="00EA2BED"/>
    <w:rsid w:val="00EA3661"/>
    <w:rsid w:val="00EA4017"/>
    <w:rsid w:val="00EA5253"/>
    <w:rsid w:val="00EB12B2"/>
    <w:rsid w:val="00EB34D4"/>
    <w:rsid w:val="00EB44B1"/>
    <w:rsid w:val="00EB585A"/>
    <w:rsid w:val="00EB58EC"/>
    <w:rsid w:val="00EB595A"/>
    <w:rsid w:val="00EB6473"/>
    <w:rsid w:val="00EB64C5"/>
    <w:rsid w:val="00EB6521"/>
    <w:rsid w:val="00EC096F"/>
    <w:rsid w:val="00EC2BCB"/>
    <w:rsid w:val="00EC4D4C"/>
    <w:rsid w:val="00EC7E8B"/>
    <w:rsid w:val="00ED03A9"/>
    <w:rsid w:val="00ED1D87"/>
    <w:rsid w:val="00ED34AE"/>
    <w:rsid w:val="00ED3A0F"/>
    <w:rsid w:val="00ED4DBB"/>
    <w:rsid w:val="00ED6F0D"/>
    <w:rsid w:val="00ED74CA"/>
    <w:rsid w:val="00EE1220"/>
    <w:rsid w:val="00EE39C8"/>
    <w:rsid w:val="00EE4B4D"/>
    <w:rsid w:val="00EE5FF1"/>
    <w:rsid w:val="00EE6BF6"/>
    <w:rsid w:val="00EE77B2"/>
    <w:rsid w:val="00EF003B"/>
    <w:rsid w:val="00EF04A7"/>
    <w:rsid w:val="00EF146E"/>
    <w:rsid w:val="00EF1B1C"/>
    <w:rsid w:val="00EF627C"/>
    <w:rsid w:val="00F008F4"/>
    <w:rsid w:val="00F00A97"/>
    <w:rsid w:val="00F03944"/>
    <w:rsid w:val="00F048B3"/>
    <w:rsid w:val="00F05E62"/>
    <w:rsid w:val="00F12FFB"/>
    <w:rsid w:val="00F13011"/>
    <w:rsid w:val="00F13CE3"/>
    <w:rsid w:val="00F163DF"/>
    <w:rsid w:val="00F2196F"/>
    <w:rsid w:val="00F25E11"/>
    <w:rsid w:val="00F30E78"/>
    <w:rsid w:val="00F31E2A"/>
    <w:rsid w:val="00F31E8E"/>
    <w:rsid w:val="00F35BF2"/>
    <w:rsid w:val="00F3631B"/>
    <w:rsid w:val="00F412F7"/>
    <w:rsid w:val="00F418F0"/>
    <w:rsid w:val="00F4312A"/>
    <w:rsid w:val="00F43863"/>
    <w:rsid w:val="00F439C3"/>
    <w:rsid w:val="00F4457D"/>
    <w:rsid w:val="00F45AAE"/>
    <w:rsid w:val="00F462BD"/>
    <w:rsid w:val="00F47D01"/>
    <w:rsid w:val="00F502F5"/>
    <w:rsid w:val="00F50AC9"/>
    <w:rsid w:val="00F54D16"/>
    <w:rsid w:val="00F555B6"/>
    <w:rsid w:val="00F6297C"/>
    <w:rsid w:val="00F635B2"/>
    <w:rsid w:val="00F63C8A"/>
    <w:rsid w:val="00F63E2D"/>
    <w:rsid w:val="00F646A3"/>
    <w:rsid w:val="00F64C7C"/>
    <w:rsid w:val="00F64E32"/>
    <w:rsid w:val="00F663A4"/>
    <w:rsid w:val="00F66D52"/>
    <w:rsid w:val="00F67826"/>
    <w:rsid w:val="00F70969"/>
    <w:rsid w:val="00F717EF"/>
    <w:rsid w:val="00F71A65"/>
    <w:rsid w:val="00F74CD9"/>
    <w:rsid w:val="00F7580D"/>
    <w:rsid w:val="00F76F8C"/>
    <w:rsid w:val="00F85D58"/>
    <w:rsid w:val="00F86FA3"/>
    <w:rsid w:val="00F9162F"/>
    <w:rsid w:val="00F9317C"/>
    <w:rsid w:val="00F94E74"/>
    <w:rsid w:val="00F959F2"/>
    <w:rsid w:val="00F96703"/>
    <w:rsid w:val="00F9679F"/>
    <w:rsid w:val="00F97FD5"/>
    <w:rsid w:val="00FA0B39"/>
    <w:rsid w:val="00FA5A1D"/>
    <w:rsid w:val="00FA5E87"/>
    <w:rsid w:val="00FB1BB6"/>
    <w:rsid w:val="00FB2CCB"/>
    <w:rsid w:val="00FB669D"/>
    <w:rsid w:val="00FC21FF"/>
    <w:rsid w:val="00FC5957"/>
    <w:rsid w:val="00FC6085"/>
    <w:rsid w:val="00FC7FB3"/>
    <w:rsid w:val="00FD0D7D"/>
    <w:rsid w:val="00FD27C9"/>
    <w:rsid w:val="00FD2A52"/>
    <w:rsid w:val="00FD55FE"/>
    <w:rsid w:val="00FD7E32"/>
    <w:rsid w:val="00FE06B9"/>
    <w:rsid w:val="00FE2B3B"/>
    <w:rsid w:val="00FE2C00"/>
    <w:rsid w:val="00FE4D88"/>
    <w:rsid w:val="00FE5ED6"/>
    <w:rsid w:val="00FE70BF"/>
    <w:rsid w:val="00FE71C2"/>
    <w:rsid w:val="00FE7BC2"/>
    <w:rsid w:val="00FF023E"/>
    <w:rsid w:val="00FF161C"/>
    <w:rsid w:val="00FF1879"/>
    <w:rsid w:val="00FF3A5B"/>
    <w:rsid w:val="00FF5175"/>
    <w:rsid w:val="00FF75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E4"/>
  </w:style>
  <w:style w:type="paragraph" w:styleId="Heading1">
    <w:name w:val="heading 1"/>
    <w:basedOn w:val="Normal"/>
    <w:next w:val="Normal"/>
    <w:link w:val="Heading1Char"/>
    <w:uiPriority w:val="9"/>
    <w:qFormat/>
    <w:rsid w:val="00856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33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33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3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F33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33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3E4"/>
    <w:rPr>
      <w:b/>
      <w:bCs/>
    </w:rPr>
  </w:style>
  <w:style w:type="character" w:styleId="Hyperlink">
    <w:name w:val="Hyperlink"/>
    <w:basedOn w:val="DefaultParagraphFont"/>
    <w:uiPriority w:val="99"/>
    <w:unhideWhenUsed/>
    <w:rsid w:val="005F33E4"/>
    <w:rPr>
      <w:color w:val="0000FF"/>
      <w:u w:val="single"/>
    </w:rPr>
  </w:style>
  <w:style w:type="character" w:customStyle="1" w:styleId="mntl-sc-block-headingtext">
    <w:name w:val="mntl-sc-block-heading__text"/>
    <w:basedOn w:val="DefaultParagraphFont"/>
    <w:rsid w:val="005F33E4"/>
  </w:style>
  <w:style w:type="paragraph" w:customStyle="1" w:styleId="comp1">
    <w:name w:val="comp1"/>
    <w:basedOn w:val="Normal"/>
    <w:rsid w:val="005F3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subheadingtext">
    <w:name w:val="mntl-sc-block-subheading__text"/>
    <w:basedOn w:val="DefaultParagraphFont"/>
    <w:rsid w:val="005F33E4"/>
  </w:style>
  <w:style w:type="character" w:customStyle="1" w:styleId="mntl-inline-citation">
    <w:name w:val="mntl-inline-citation"/>
    <w:basedOn w:val="DefaultParagraphFont"/>
    <w:rsid w:val="005F33E4"/>
  </w:style>
  <w:style w:type="paragraph" w:styleId="z-BottomofForm">
    <w:name w:val="HTML Bottom of Form"/>
    <w:basedOn w:val="Normal"/>
    <w:next w:val="Normal"/>
    <w:link w:val="z-BottomofFormChar"/>
    <w:hidden/>
    <w:uiPriority w:val="99"/>
    <w:semiHidden/>
    <w:unhideWhenUsed/>
    <w:rsid w:val="005F33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F33E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75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7C"/>
    <w:rPr>
      <w:rFonts w:ascii="Tahoma" w:hAnsi="Tahoma" w:cs="Tahoma"/>
      <w:sz w:val="16"/>
      <w:szCs w:val="16"/>
    </w:rPr>
  </w:style>
  <w:style w:type="character" w:customStyle="1" w:styleId="Heading1Char">
    <w:name w:val="Heading 1 Char"/>
    <w:basedOn w:val="DefaultParagraphFont"/>
    <w:link w:val="Heading1"/>
    <w:uiPriority w:val="9"/>
    <w:rsid w:val="00856B93"/>
    <w:rPr>
      <w:rFonts w:asciiTheme="majorHAnsi" w:eastAsiaTheme="majorEastAsia" w:hAnsiTheme="majorHAnsi" w:cstheme="majorBidi"/>
      <w:color w:val="365F91" w:themeColor="accent1" w:themeShade="BF"/>
      <w:sz w:val="32"/>
      <w:szCs w:val="32"/>
    </w:rPr>
  </w:style>
  <w:style w:type="paragraph" w:styleId="ListParagraph">
    <w:name w:val="List Paragraph"/>
    <w:aliases w:val="WB Para,Numbered Paragraph,# pharagraph,Main numbered paragraph,References,Numbered List Paragraph,123 List Paragraph,Bullets,List Paragraph (numbered (a)),List Paragraph nowy,Liste 1,List_Paragraph,Multilevel para_II,List Paragraph1,Body"/>
    <w:basedOn w:val="Normal"/>
    <w:link w:val="ListParagraphChar"/>
    <w:uiPriority w:val="34"/>
    <w:qFormat/>
    <w:rsid w:val="00856B93"/>
    <w:pPr>
      <w:spacing w:after="160" w:line="259" w:lineRule="auto"/>
      <w:ind w:left="720"/>
      <w:contextualSpacing/>
    </w:pPr>
    <w:rPr>
      <w:rFonts w:ascii="Calibri" w:eastAsia="Calibri" w:hAnsi="Calibri" w:cs="Times New Roman"/>
      <w:sz w:val="20"/>
      <w:szCs w:val="20"/>
    </w:rPr>
  </w:style>
  <w:style w:type="paragraph" w:styleId="Footer">
    <w:name w:val="footer"/>
    <w:basedOn w:val="Normal"/>
    <w:link w:val="FooterChar"/>
    <w:uiPriority w:val="99"/>
    <w:unhideWhenUsed/>
    <w:rsid w:val="00856B9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56B93"/>
    <w:rPr>
      <w:rFonts w:ascii="Calibri" w:eastAsia="Calibri" w:hAnsi="Calibri" w:cs="Times New Roman"/>
    </w:rPr>
  </w:style>
  <w:style w:type="paragraph" w:styleId="FootnoteText">
    <w:name w:val="footnote text"/>
    <w:aliases w:val="single space,footnote text,fn,FOOTNOTES,Fodnotetekst Tegn,Footnote,Footnote Text qer,Footnote Text Char Char,f,Footnote Text Char2 Char,Footnote Text Char1 Char Char,Footnote Text Char2 Char Char Char,ALTS FOOTNOTE,ft,Char,ADB,Testo_note,A"/>
    <w:basedOn w:val="Normal"/>
    <w:link w:val="FootnoteTextChar"/>
    <w:uiPriority w:val="99"/>
    <w:unhideWhenUsed/>
    <w:qFormat/>
    <w:rsid w:val="00856B93"/>
    <w:pPr>
      <w:spacing w:after="0" w:line="240" w:lineRule="auto"/>
    </w:pPr>
    <w:rPr>
      <w:rFonts w:ascii="Calibri" w:eastAsia="Calibri" w:hAnsi="Calibri" w:cs="Times New Roman"/>
      <w:sz w:val="20"/>
      <w:szCs w:val="20"/>
      <w:lang w:val="es-ES_tradnl"/>
    </w:rPr>
  </w:style>
  <w:style w:type="character" w:customStyle="1" w:styleId="FootnoteTextChar">
    <w:name w:val="Footnote Text Char"/>
    <w:aliases w:val="single space Char,footnote text Char,fn Char,FOOTNOTES Char,Fodnotetekst Tegn Char,Footnote Char,Footnote Text qer Char,Footnote Text Char Char Char,f Char,Footnote Text Char2 Char Char,Footnote Text Char1 Char Char Char,ft Char"/>
    <w:basedOn w:val="DefaultParagraphFont"/>
    <w:link w:val="FootnoteText"/>
    <w:uiPriority w:val="99"/>
    <w:qFormat/>
    <w:rsid w:val="00856B93"/>
    <w:rPr>
      <w:rFonts w:ascii="Calibri" w:eastAsia="Calibri" w:hAnsi="Calibri" w:cs="Times New Roman"/>
      <w:sz w:val="20"/>
      <w:szCs w:val="20"/>
      <w:lang w:val="es-ES_tradnl"/>
    </w:rPr>
  </w:style>
  <w:style w:type="character" w:styleId="FootnoteReference">
    <w:name w:val="footnote reference"/>
    <w:aliases w:val="ftref,BVI fnr,Footnote Reference Number,fr,Used by Word for Help footnote symbols,16 Point,Superscript 6 Point,Char Char Char Char Car Char,Footnote Reference_LVL6,Footnote Reference_LVL61,Footnote Reference_LVL62,Ref, BVI fnr,SUPERS"/>
    <w:link w:val="BVIfnrCarCarCarCarChar"/>
    <w:uiPriority w:val="99"/>
    <w:unhideWhenUsed/>
    <w:qFormat/>
    <w:rsid w:val="00856B93"/>
    <w:rPr>
      <w:vertAlign w:val="superscript"/>
    </w:rPr>
  </w:style>
  <w:style w:type="table" w:styleId="TableGrid">
    <w:name w:val="Table Grid"/>
    <w:aliases w:val="Table Garamond,Document Table,TabelEcorys,Table style,Table long document,mtbs,Table Grid CFAA"/>
    <w:basedOn w:val="TableNormal"/>
    <w:uiPriority w:val="59"/>
    <w:qFormat/>
    <w:rsid w:val="00856B93"/>
    <w:pPr>
      <w:spacing w:after="0" w:line="240" w:lineRule="auto"/>
    </w:pPr>
    <w:rPr>
      <w:rFonts w:ascii="Calibri" w:eastAsia="Calibri" w:hAnsi="Calibri"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WB Para Char,Numbered Paragraph Char,# pharagraph Char,Main numbered paragraph Char,References Char,Numbered List Paragraph Char,123 List Paragraph Char,Bullets Char,List Paragraph (numbered (a)) Char,List Paragraph nowy Char"/>
    <w:link w:val="ListParagraph"/>
    <w:uiPriority w:val="34"/>
    <w:qFormat/>
    <w:rsid w:val="00856B93"/>
    <w:rPr>
      <w:rFonts w:ascii="Calibri" w:eastAsia="Calibri" w:hAnsi="Calibri" w:cs="Times New Roman"/>
      <w:sz w:val="20"/>
      <w:szCs w:val="20"/>
    </w:rPr>
  </w:style>
  <w:style w:type="paragraph" w:styleId="Header">
    <w:name w:val="header"/>
    <w:basedOn w:val="Normal"/>
    <w:link w:val="HeaderChar"/>
    <w:uiPriority w:val="99"/>
    <w:unhideWhenUsed/>
    <w:rsid w:val="00856B9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56B93"/>
    <w:rPr>
      <w:rFonts w:ascii="Calibri" w:eastAsia="Calibri" w:hAnsi="Calibri" w:cs="Times New Roman"/>
    </w:rPr>
  </w:style>
  <w:style w:type="paragraph" w:styleId="TOCHeading">
    <w:name w:val="TOC Heading"/>
    <w:basedOn w:val="Heading1"/>
    <w:next w:val="Normal"/>
    <w:uiPriority w:val="39"/>
    <w:unhideWhenUsed/>
    <w:qFormat/>
    <w:rsid w:val="00856B93"/>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856B93"/>
    <w:pPr>
      <w:spacing w:after="100" w:line="259" w:lineRule="auto"/>
    </w:pPr>
    <w:rPr>
      <w:rFonts w:ascii="Calibri" w:eastAsia="Calibri" w:hAnsi="Calibri" w:cs="Times New Roman"/>
    </w:rPr>
  </w:style>
  <w:style w:type="paragraph" w:styleId="TOC2">
    <w:name w:val="toc 2"/>
    <w:basedOn w:val="Normal"/>
    <w:next w:val="Normal"/>
    <w:autoRedefine/>
    <w:uiPriority w:val="39"/>
    <w:unhideWhenUsed/>
    <w:rsid w:val="00856B93"/>
    <w:pPr>
      <w:spacing w:after="100" w:line="259" w:lineRule="auto"/>
      <w:ind w:left="220"/>
    </w:pPr>
    <w:rPr>
      <w:rFonts w:ascii="Calibri" w:eastAsia="Calibri" w:hAnsi="Calibri" w:cs="Times New Roman"/>
    </w:rPr>
  </w:style>
  <w:style w:type="paragraph" w:customStyle="1" w:styleId="BVIfnrCarCarCarCarChar">
    <w:name w:val="BVI fnr Car Car Car Car Char"/>
    <w:aliases w:val="BVI fnr Car Car, BVI fnr Car Car Car Car Char,BVI fnr Car"/>
    <w:basedOn w:val="Normal"/>
    <w:link w:val="FootnoteReference"/>
    <w:uiPriority w:val="99"/>
    <w:rsid w:val="007B7AF1"/>
    <w:pPr>
      <w:spacing w:after="0" w:line="240" w:lineRule="auto"/>
    </w:pPr>
    <w:rPr>
      <w:vertAlign w:val="superscript"/>
    </w:rPr>
  </w:style>
  <w:style w:type="paragraph" w:styleId="TOC3">
    <w:name w:val="toc 3"/>
    <w:basedOn w:val="Normal"/>
    <w:next w:val="Normal"/>
    <w:autoRedefine/>
    <w:uiPriority w:val="39"/>
    <w:unhideWhenUsed/>
    <w:rsid w:val="003B5227"/>
    <w:pPr>
      <w:spacing w:after="100"/>
      <w:ind w:left="440"/>
    </w:pPr>
  </w:style>
  <w:style w:type="paragraph" w:customStyle="1" w:styleId="NumberedPara">
    <w:name w:val="Numbered Para"/>
    <w:basedOn w:val="Normal"/>
    <w:qFormat/>
    <w:rsid w:val="00FC6085"/>
    <w:pPr>
      <w:spacing w:before="120" w:after="60" w:line="240" w:lineRule="auto"/>
      <w:jc w:val="both"/>
    </w:pPr>
    <w:rPr>
      <w:rFonts w:ascii="Tahoma" w:eastAsia="Times New Roman" w:hAnsi="Tahoma" w:cs="Times New Roman"/>
      <w:sz w:val="20"/>
      <w:szCs w:val="24"/>
      <w:lang w:val="en-GB" w:eastAsia="en-GB"/>
    </w:rPr>
  </w:style>
  <w:style w:type="paragraph" w:styleId="Caption">
    <w:name w:val="caption"/>
    <w:basedOn w:val="Normal"/>
    <w:next w:val="Normal"/>
    <w:uiPriority w:val="35"/>
    <w:qFormat/>
    <w:rsid w:val="00FC6085"/>
    <w:pPr>
      <w:keepNext/>
      <w:spacing w:before="120" w:after="120" w:line="240" w:lineRule="auto"/>
      <w:jc w:val="center"/>
    </w:pPr>
    <w:rPr>
      <w:rFonts w:ascii="Tahoma" w:eastAsia="Times New Roman" w:hAnsi="Tahoma" w:cs="Times New Roman"/>
      <w:b/>
      <w:bCs/>
      <w:sz w:val="20"/>
      <w:szCs w:val="20"/>
      <w:lang w:val="en-GB" w:eastAsia="en-GB"/>
    </w:rPr>
  </w:style>
  <w:style w:type="paragraph" w:customStyle="1" w:styleId="StyleCaptionCentered">
    <w:name w:val="Style Caption + Centered"/>
    <w:basedOn w:val="Caption"/>
    <w:rsid w:val="00FC6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3E4"/>
  </w:style>
  <w:style w:type="paragraph" w:styleId="Heading1">
    <w:name w:val="heading 1"/>
    <w:basedOn w:val="Normal"/>
    <w:next w:val="Normal"/>
    <w:link w:val="Heading1Char"/>
    <w:uiPriority w:val="9"/>
    <w:qFormat/>
    <w:rsid w:val="00856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33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33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3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F33E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33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3E4"/>
    <w:rPr>
      <w:b/>
      <w:bCs/>
    </w:rPr>
  </w:style>
  <w:style w:type="character" w:styleId="Hyperlink">
    <w:name w:val="Hyperlink"/>
    <w:basedOn w:val="DefaultParagraphFont"/>
    <w:uiPriority w:val="99"/>
    <w:unhideWhenUsed/>
    <w:rsid w:val="005F33E4"/>
    <w:rPr>
      <w:color w:val="0000FF"/>
      <w:u w:val="single"/>
    </w:rPr>
  </w:style>
  <w:style w:type="character" w:customStyle="1" w:styleId="mntl-sc-block-headingtext">
    <w:name w:val="mntl-sc-block-heading__text"/>
    <w:basedOn w:val="DefaultParagraphFont"/>
    <w:rsid w:val="005F33E4"/>
  </w:style>
  <w:style w:type="paragraph" w:customStyle="1" w:styleId="comp1">
    <w:name w:val="comp1"/>
    <w:basedOn w:val="Normal"/>
    <w:rsid w:val="005F33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subheadingtext">
    <w:name w:val="mntl-sc-block-subheading__text"/>
    <w:basedOn w:val="DefaultParagraphFont"/>
    <w:rsid w:val="005F33E4"/>
  </w:style>
  <w:style w:type="character" w:customStyle="1" w:styleId="mntl-inline-citation">
    <w:name w:val="mntl-inline-citation"/>
    <w:basedOn w:val="DefaultParagraphFont"/>
    <w:rsid w:val="005F33E4"/>
  </w:style>
  <w:style w:type="paragraph" w:styleId="z-BottomofForm">
    <w:name w:val="HTML Bottom of Form"/>
    <w:basedOn w:val="Normal"/>
    <w:next w:val="Normal"/>
    <w:link w:val="z-BottomofFormChar"/>
    <w:hidden/>
    <w:uiPriority w:val="99"/>
    <w:semiHidden/>
    <w:unhideWhenUsed/>
    <w:rsid w:val="005F33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F33E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75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87C"/>
    <w:rPr>
      <w:rFonts w:ascii="Tahoma" w:hAnsi="Tahoma" w:cs="Tahoma"/>
      <w:sz w:val="16"/>
      <w:szCs w:val="16"/>
    </w:rPr>
  </w:style>
  <w:style w:type="character" w:customStyle="1" w:styleId="Heading1Char">
    <w:name w:val="Heading 1 Char"/>
    <w:basedOn w:val="DefaultParagraphFont"/>
    <w:link w:val="Heading1"/>
    <w:uiPriority w:val="9"/>
    <w:rsid w:val="00856B93"/>
    <w:rPr>
      <w:rFonts w:asciiTheme="majorHAnsi" w:eastAsiaTheme="majorEastAsia" w:hAnsiTheme="majorHAnsi" w:cstheme="majorBidi"/>
      <w:color w:val="365F91" w:themeColor="accent1" w:themeShade="BF"/>
      <w:sz w:val="32"/>
      <w:szCs w:val="32"/>
    </w:rPr>
  </w:style>
  <w:style w:type="paragraph" w:styleId="ListParagraph">
    <w:name w:val="List Paragraph"/>
    <w:aliases w:val="WB Para,Numbered Paragraph,# pharagraph,Main numbered paragraph,References,Numbered List Paragraph,123 List Paragraph,Bullets,List Paragraph (numbered (a)),List Paragraph nowy,Liste 1,List_Paragraph,Multilevel para_II,List Paragraph1,Body"/>
    <w:basedOn w:val="Normal"/>
    <w:link w:val="ListParagraphChar"/>
    <w:uiPriority w:val="34"/>
    <w:qFormat/>
    <w:rsid w:val="00856B93"/>
    <w:pPr>
      <w:spacing w:after="160" w:line="259" w:lineRule="auto"/>
      <w:ind w:left="720"/>
      <w:contextualSpacing/>
    </w:pPr>
    <w:rPr>
      <w:rFonts w:ascii="Calibri" w:eastAsia="Calibri" w:hAnsi="Calibri" w:cs="Times New Roman"/>
      <w:sz w:val="20"/>
      <w:szCs w:val="20"/>
    </w:rPr>
  </w:style>
  <w:style w:type="paragraph" w:styleId="Footer">
    <w:name w:val="footer"/>
    <w:basedOn w:val="Normal"/>
    <w:link w:val="FooterChar"/>
    <w:uiPriority w:val="99"/>
    <w:unhideWhenUsed/>
    <w:rsid w:val="00856B9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56B93"/>
    <w:rPr>
      <w:rFonts w:ascii="Calibri" w:eastAsia="Calibri" w:hAnsi="Calibri" w:cs="Times New Roman"/>
    </w:rPr>
  </w:style>
  <w:style w:type="paragraph" w:styleId="FootnoteText">
    <w:name w:val="footnote text"/>
    <w:aliases w:val="single space,footnote text,fn,FOOTNOTES,Fodnotetekst Tegn,Footnote,Footnote Text qer,Footnote Text Char Char,f,Footnote Text Char2 Char,Footnote Text Char1 Char Char,Footnote Text Char2 Char Char Char,ALTS FOOTNOTE,ft,Char,ADB,Testo_note,A"/>
    <w:basedOn w:val="Normal"/>
    <w:link w:val="FootnoteTextChar"/>
    <w:uiPriority w:val="99"/>
    <w:unhideWhenUsed/>
    <w:qFormat/>
    <w:rsid w:val="00856B93"/>
    <w:pPr>
      <w:spacing w:after="0" w:line="240" w:lineRule="auto"/>
    </w:pPr>
    <w:rPr>
      <w:rFonts w:ascii="Calibri" w:eastAsia="Calibri" w:hAnsi="Calibri" w:cs="Times New Roman"/>
      <w:sz w:val="20"/>
      <w:szCs w:val="20"/>
      <w:lang w:val="es-ES_tradnl"/>
    </w:rPr>
  </w:style>
  <w:style w:type="character" w:customStyle="1" w:styleId="FootnoteTextChar">
    <w:name w:val="Footnote Text Char"/>
    <w:aliases w:val="single space Char,footnote text Char,fn Char,FOOTNOTES Char,Fodnotetekst Tegn Char,Footnote Char,Footnote Text qer Char,Footnote Text Char Char Char,f Char,Footnote Text Char2 Char Char,Footnote Text Char1 Char Char Char,ft Char"/>
    <w:basedOn w:val="DefaultParagraphFont"/>
    <w:link w:val="FootnoteText"/>
    <w:uiPriority w:val="99"/>
    <w:qFormat/>
    <w:rsid w:val="00856B93"/>
    <w:rPr>
      <w:rFonts w:ascii="Calibri" w:eastAsia="Calibri" w:hAnsi="Calibri" w:cs="Times New Roman"/>
      <w:sz w:val="20"/>
      <w:szCs w:val="20"/>
      <w:lang w:val="es-ES_tradnl"/>
    </w:rPr>
  </w:style>
  <w:style w:type="character" w:styleId="FootnoteReference">
    <w:name w:val="footnote reference"/>
    <w:aliases w:val="ftref,BVI fnr,Footnote Reference Number,fr,Used by Word for Help footnote symbols,16 Point,Superscript 6 Point,Char Char Char Char Car Char,Footnote Reference_LVL6,Footnote Reference_LVL61,Footnote Reference_LVL62,Ref, BVI fnr,SUPERS"/>
    <w:link w:val="BVIfnrCarCarCarCarChar"/>
    <w:uiPriority w:val="99"/>
    <w:unhideWhenUsed/>
    <w:qFormat/>
    <w:rsid w:val="00856B93"/>
    <w:rPr>
      <w:vertAlign w:val="superscript"/>
    </w:rPr>
  </w:style>
  <w:style w:type="table" w:styleId="TableGrid">
    <w:name w:val="Table Grid"/>
    <w:aliases w:val="Table Garamond,Document Table,TabelEcorys,Table style,Table long document,mtbs,Table Grid CFAA"/>
    <w:basedOn w:val="TableNormal"/>
    <w:uiPriority w:val="59"/>
    <w:qFormat/>
    <w:rsid w:val="00856B93"/>
    <w:pPr>
      <w:spacing w:after="0" w:line="240" w:lineRule="auto"/>
    </w:pPr>
    <w:rPr>
      <w:rFonts w:ascii="Calibri" w:eastAsia="Calibri" w:hAnsi="Calibri" w:cs="Times New Roman"/>
      <w:sz w:val="20"/>
      <w:szCs w:val="20"/>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WB Para Char,Numbered Paragraph Char,# pharagraph Char,Main numbered paragraph Char,References Char,Numbered List Paragraph Char,123 List Paragraph Char,Bullets Char,List Paragraph (numbered (a)) Char,List Paragraph nowy Char"/>
    <w:link w:val="ListParagraph"/>
    <w:uiPriority w:val="34"/>
    <w:qFormat/>
    <w:rsid w:val="00856B93"/>
    <w:rPr>
      <w:rFonts w:ascii="Calibri" w:eastAsia="Calibri" w:hAnsi="Calibri" w:cs="Times New Roman"/>
      <w:sz w:val="20"/>
      <w:szCs w:val="20"/>
    </w:rPr>
  </w:style>
  <w:style w:type="paragraph" w:styleId="Header">
    <w:name w:val="header"/>
    <w:basedOn w:val="Normal"/>
    <w:link w:val="HeaderChar"/>
    <w:uiPriority w:val="99"/>
    <w:unhideWhenUsed/>
    <w:rsid w:val="00856B93"/>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56B93"/>
    <w:rPr>
      <w:rFonts w:ascii="Calibri" w:eastAsia="Calibri" w:hAnsi="Calibri" w:cs="Times New Roman"/>
    </w:rPr>
  </w:style>
  <w:style w:type="paragraph" w:styleId="TOCHeading">
    <w:name w:val="TOC Heading"/>
    <w:basedOn w:val="Heading1"/>
    <w:next w:val="Normal"/>
    <w:uiPriority w:val="39"/>
    <w:unhideWhenUsed/>
    <w:qFormat/>
    <w:rsid w:val="00856B93"/>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856B93"/>
    <w:pPr>
      <w:spacing w:after="100" w:line="259" w:lineRule="auto"/>
    </w:pPr>
    <w:rPr>
      <w:rFonts w:ascii="Calibri" w:eastAsia="Calibri" w:hAnsi="Calibri" w:cs="Times New Roman"/>
    </w:rPr>
  </w:style>
  <w:style w:type="paragraph" w:styleId="TOC2">
    <w:name w:val="toc 2"/>
    <w:basedOn w:val="Normal"/>
    <w:next w:val="Normal"/>
    <w:autoRedefine/>
    <w:uiPriority w:val="39"/>
    <w:unhideWhenUsed/>
    <w:rsid w:val="00856B93"/>
    <w:pPr>
      <w:spacing w:after="100" w:line="259" w:lineRule="auto"/>
      <w:ind w:left="220"/>
    </w:pPr>
    <w:rPr>
      <w:rFonts w:ascii="Calibri" w:eastAsia="Calibri" w:hAnsi="Calibri" w:cs="Times New Roman"/>
    </w:rPr>
  </w:style>
  <w:style w:type="paragraph" w:customStyle="1" w:styleId="BVIfnrCarCarCarCarChar">
    <w:name w:val="BVI fnr Car Car Car Car Char"/>
    <w:aliases w:val="BVI fnr Car Car, BVI fnr Car Car Car Car Char,BVI fnr Car"/>
    <w:basedOn w:val="Normal"/>
    <w:link w:val="FootnoteReference"/>
    <w:uiPriority w:val="99"/>
    <w:rsid w:val="007B7AF1"/>
    <w:pPr>
      <w:spacing w:after="0" w:line="240" w:lineRule="auto"/>
    </w:pPr>
    <w:rPr>
      <w:vertAlign w:val="superscript"/>
    </w:rPr>
  </w:style>
  <w:style w:type="paragraph" w:styleId="TOC3">
    <w:name w:val="toc 3"/>
    <w:basedOn w:val="Normal"/>
    <w:next w:val="Normal"/>
    <w:autoRedefine/>
    <w:uiPriority w:val="39"/>
    <w:unhideWhenUsed/>
    <w:rsid w:val="003B5227"/>
    <w:pPr>
      <w:spacing w:after="100"/>
      <w:ind w:left="440"/>
    </w:pPr>
  </w:style>
  <w:style w:type="paragraph" w:customStyle="1" w:styleId="NumberedPara">
    <w:name w:val="Numbered Para"/>
    <w:basedOn w:val="Normal"/>
    <w:qFormat/>
    <w:rsid w:val="00FC6085"/>
    <w:pPr>
      <w:spacing w:before="120" w:after="60" w:line="240" w:lineRule="auto"/>
      <w:jc w:val="both"/>
    </w:pPr>
    <w:rPr>
      <w:rFonts w:ascii="Tahoma" w:eastAsia="Times New Roman" w:hAnsi="Tahoma" w:cs="Times New Roman"/>
      <w:sz w:val="20"/>
      <w:szCs w:val="24"/>
      <w:lang w:val="en-GB" w:eastAsia="en-GB"/>
    </w:rPr>
  </w:style>
  <w:style w:type="paragraph" w:styleId="Caption">
    <w:name w:val="caption"/>
    <w:basedOn w:val="Normal"/>
    <w:next w:val="Normal"/>
    <w:uiPriority w:val="35"/>
    <w:qFormat/>
    <w:rsid w:val="00FC6085"/>
    <w:pPr>
      <w:keepNext/>
      <w:spacing w:before="120" w:after="120" w:line="240" w:lineRule="auto"/>
      <w:jc w:val="center"/>
    </w:pPr>
    <w:rPr>
      <w:rFonts w:ascii="Tahoma" w:eastAsia="Times New Roman" w:hAnsi="Tahoma" w:cs="Times New Roman"/>
      <w:b/>
      <w:bCs/>
      <w:sz w:val="20"/>
      <w:szCs w:val="20"/>
      <w:lang w:val="en-GB" w:eastAsia="en-GB"/>
    </w:rPr>
  </w:style>
  <w:style w:type="paragraph" w:customStyle="1" w:styleId="StyleCaptionCentered">
    <w:name w:val="Style Caption + Centered"/>
    <w:basedOn w:val="Caption"/>
    <w:rsid w:val="00FC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2703">
      <w:bodyDiv w:val="1"/>
      <w:marLeft w:val="0"/>
      <w:marRight w:val="0"/>
      <w:marTop w:val="0"/>
      <w:marBottom w:val="0"/>
      <w:divBdr>
        <w:top w:val="none" w:sz="0" w:space="0" w:color="auto"/>
        <w:left w:val="none" w:sz="0" w:space="0" w:color="auto"/>
        <w:bottom w:val="none" w:sz="0" w:space="0" w:color="auto"/>
        <w:right w:val="none" w:sz="0" w:space="0" w:color="auto"/>
      </w:divBdr>
    </w:div>
    <w:div w:id="279914927">
      <w:bodyDiv w:val="1"/>
      <w:marLeft w:val="0"/>
      <w:marRight w:val="0"/>
      <w:marTop w:val="0"/>
      <w:marBottom w:val="0"/>
      <w:divBdr>
        <w:top w:val="none" w:sz="0" w:space="0" w:color="auto"/>
        <w:left w:val="none" w:sz="0" w:space="0" w:color="auto"/>
        <w:bottom w:val="none" w:sz="0" w:space="0" w:color="auto"/>
        <w:right w:val="none" w:sz="0" w:space="0" w:color="auto"/>
      </w:divBdr>
    </w:div>
    <w:div w:id="403258692">
      <w:bodyDiv w:val="1"/>
      <w:marLeft w:val="0"/>
      <w:marRight w:val="0"/>
      <w:marTop w:val="0"/>
      <w:marBottom w:val="0"/>
      <w:divBdr>
        <w:top w:val="none" w:sz="0" w:space="0" w:color="auto"/>
        <w:left w:val="none" w:sz="0" w:space="0" w:color="auto"/>
        <w:bottom w:val="none" w:sz="0" w:space="0" w:color="auto"/>
        <w:right w:val="none" w:sz="0" w:space="0" w:color="auto"/>
      </w:divBdr>
    </w:div>
    <w:div w:id="446200278">
      <w:bodyDiv w:val="1"/>
      <w:marLeft w:val="0"/>
      <w:marRight w:val="0"/>
      <w:marTop w:val="0"/>
      <w:marBottom w:val="0"/>
      <w:divBdr>
        <w:top w:val="none" w:sz="0" w:space="0" w:color="auto"/>
        <w:left w:val="none" w:sz="0" w:space="0" w:color="auto"/>
        <w:bottom w:val="none" w:sz="0" w:space="0" w:color="auto"/>
        <w:right w:val="none" w:sz="0" w:space="0" w:color="auto"/>
      </w:divBdr>
    </w:div>
    <w:div w:id="490565123">
      <w:bodyDiv w:val="1"/>
      <w:marLeft w:val="0"/>
      <w:marRight w:val="0"/>
      <w:marTop w:val="0"/>
      <w:marBottom w:val="0"/>
      <w:divBdr>
        <w:top w:val="none" w:sz="0" w:space="0" w:color="auto"/>
        <w:left w:val="none" w:sz="0" w:space="0" w:color="auto"/>
        <w:bottom w:val="none" w:sz="0" w:space="0" w:color="auto"/>
        <w:right w:val="none" w:sz="0" w:space="0" w:color="auto"/>
      </w:divBdr>
    </w:div>
    <w:div w:id="568884178">
      <w:bodyDiv w:val="1"/>
      <w:marLeft w:val="0"/>
      <w:marRight w:val="0"/>
      <w:marTop w:val="0"/>
      <w:marBottom w:val="0"/>
      <w:divBdr>
        <w:top w:val="none" w:sz="0" w:space="0" w:color="auto"/>
        <w:left w:val="none" w:sz="0" w:space="0" w:color="auto"/>
        <w:bottom w:val="none" w:sz="0" w:space="0" w:color="auto"/>
        <w:right w:val="none" w:sz="0" w:space="0" w:color="auto"/>
      </w:divBdr>
    </w:div>
    <w:div w:id="686715870">
      <w:bodyDiv w:val="1"/>
      <w:marLeft w:val="0"/>
      <w:marRight w:val="0"/>
      <w:marTop w:val="0"/>
      <w:marBottom w:val="0"/>
      <w:divBdr>
        <w:top w:val="none" w:sz="0" w:space="0" w:color="auto"/>
        <w:left w:val="none" w:sz="0" w:space="0" w:color="auto"/>
        <w:bottom w:val="none" w:sz="0" w:space="0" w:color="auto"/>
        <w:right w:val="none" w:sz="0" w:space="0" w:color="auto"/>
      </w:divBdr>
    </w:div>
    <w:div w:id="784692754">
      <w:bodyDiv w:val="1"/>
      <w:marLeft w:val="0"/>
      <w:marRight w:val="0"/>
      <w:marTop w:val="0"/>
      <w:marBottom w:val="0"/>
      <w:divBdr>
        <w:top w:val="none" w:sz="0" w:space="0" w:color="auto"/>
        <w:left w:val="none" w:sz="0" w:space="0" w:color="auto"/>
        <w:bottom w:val="none" w:sz="0" w:space="0" w:color="auto"/>
        <w:right w:val="none" w:sz="0" w:space="0" w:color="auto"/>
      </w:divBdr>
    </w:div>
    <w:div w:id="910844965">
      <w:bodyDiv w:val="1"/>
      <w:marLeft w:val="0"/>
      <w:marRight w:val="0"/>
      <w:marTop w:val="0"/>
      <w:marBottom w:val="0"/>
      <w:divBdr>
        <w:top w:val="none" w:sz="0" w:space="0" w:color="auto"/>
        <w:left w:val="none" w:sz="0" w:space="0" w:color="auto"/>
        <w:bottom w:val="none" w:sz="0" w:space="0" w:color="auto"/>
        <w:right w:val="none" w:sz="0" w:space="0" w:color="auto"/>
      </w:divBdr>
    </w:div>
    <w:div w:id="920528404">
      <w:bodyDiv w:val="1"/>
      <w:marLeft w:val="0"/>
      <w:marRight w:val="0"/>
      <w:marTop w:val="0"/>
      <w:marBottom w:val="0"/>
      <w:divBdr>
        <w:top w:val="none" w:sz="0" w:space="0" w:color="auto"/>
        <w:left w:val="none" w:sz="0" w:space="0" w:color="auto"/>
        <w:bottom w:val="none" w:sz="0" w:space="0" w:color="auto"/>
        <w:right w:val="none" w:sz="0" w:space="0" w:color="auto"/>
      </w:divBdr>
    </w:div>
    <w:div w:id="1396122517">
      <w:bodyDiv w:val="1"/>
      <w:marLeft w:val="0"/>
      <w:marRight w:val="0"/>
      <w:marTop w:val="0"/>
      <w:marBottom w:val="0"/>
      <w:divBdr>
        <w:top w:val="none" w:sz="0" w:space="0" w:color="auto"/>
        <w:left w:val="none" w:sz="0" w:space="0" w:color="auto"/>
        <w:bottom w:val="none" w:sz="0" w:space="0" w:color="auto"/>
        <w:right w:val="none" w:sz="0" w:space="0" w:color="auto"/>
      </w:divBdr>
    </w:div>
    <w:div w:id="1543519199">
      <w:bodyDiv w:val="1"/>
      <w:marLeft w:val="0"/>
      <w:marRight w:val="0"/>
      <w:marTop w:val="0"/>
      <w:marBottom w:val="0"/>
      <w:divBdr>
        <w:top w:val="none" w:sz="0" w:space="0" w:color="auto"/>
        <w:left w:val="none" w:sz="0" w:space="0" w:color="auto"/>
        <w:bottom w:val="none" w:sz="0" w:space="0" w:color="auto"/>
        <w:right w:val="none" w:sz="0" w:space="0" w:color="auto"/>
      </w:divBdr>
    </w:div>
    <w:div w:id="1585798206">
      <w:bodyDiv w:val="1"/>
      <w:marLeft w:val="0"/>
      <w:marRight w:val="0"/>
      <w:marTop w:val="0"/>
      <w:marBottom w:val="0"/>
      <w:divBdr>
        <w:top w:val="none" w:sz="0" w:space="0" w:color="auto"/>
        <w:left w:val="none" w:sz="0" w:space="0" w:color="auto"/>
        <w:bottom w:val="none" w:sz="0" w:space="0" w:color="auto"/>
        <w:right w:val="none" w:sz="0" w:space="0" w:color="auto"/>
      </w:divBdr>
    </w:div>
    <w:div w:id="1648053089">
      <w:bodyDiv w:val="1"/>
      <w:marLeft w:val="0"/>
      <w:marRight w:val="0"/>
      <w:marTop w:val="0"/>
      <w:marBottom w:val="0"/>
      <w:divBdr>
        <w:top w:val="none" w:sz="0" w:space="0" w:color="auto"/>
        <w:left w:val="none" w:sz="0" w:space="0" w:color="auto"/>
        <w:bottom w:val="none" w:sz="0" w:space="0" w:color="auto"/>
        <w:right w:val="none" w:sz="0" w:space="0" w:color="auto"/>
      </w:divBdr>
    </w:div>
    <w:div w:id="1741974587">
      <w:bodyDiv w:val="1"/>
      <w:marLeft w:val="0"/>
      <w:marRight w:val="0"/>
      <w:marTop w:val="0"/>
      <w:marBottom w:val="0"/>
      <w:divBdr>
        <w:top w:val="none" w:sz="0" w:space="0" w:color="auto"/>
        <w:left w:val="none" w:sz="0" w:space="0" w:color="auto"/>
        <w:bottom w:val="none" w:sz="0" w:space="0" w:color="auto"/>
        <w:right w:val="none" w:sz="0" w:space="0" w:color="auto"/>
      </w:divBdr>
    </w:div>
    <w:div w:id="18186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5.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1.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3.emf"/><Relationship Id="rId27" Type="http://schemas.openxmlformats.org/officeDocument/2006/relationships/image" Target="media/image18.emf"/><Relationship Id="rId30"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18F96-1CB2-4674-9E92-7186A697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6995</TotalTime>
  <Pages>46</Pages>
  <Words>9878</Words>
  <Characters>56305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1142</cp:revision>
  <cp:lastPrinted>2024-12-27T18:15:00Z</cp:lastPrinted>
  <dcterms:created xsi:type="dcterms:W3CDTF">2022-11-23T14:44:00Z</dcterms:created>
  <dcterms:modified xsi:type="dcterms:W3CDTF">2024-12-27T18:16:00Z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-441317939</vt:i4>
  </property>
</Properties>
</file>